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32B46" w14:textId="77777777" w:rsidR="00E02E95" w:rsidRPr="000062C9" w:rsidRDefault="00DC092D" w:rsidP="00394A5F">
      <w:pPr>
        <w:ind w:left="993"/>
        <w:jc w:val="both"/>
        <w:rPr>
          <w:rFonts w:ascii="Avenir Book" w:hAnsi="Avenir Book"/>
          <w:lang w:val="en-GB"/>
        </w:rPr>
      </w:pPr>
      <w:r w:rsidRPr="000062C9">
        <w:rPr>
          <w:rFonts w:ascii="Avenir Book" w:hAnsi="Avenir Book"/>
          <w:noProof/>
        </w:rPr>
        <w:drawing>
          <wp:anchor distT="0" distB="0" distL="114300" distR="114300" simplePos="0" relativeHeight="251659264" behindDoc="0" locked="0" layoutInCell="1" allowOverlap="1" wp14:anchorId="75FE1976" wp14:editId="7B631C1D">
            <wp:simplePos x="0" y="0"/>
            <wp:positionH relativeFrom="column">
              <wp:posOffset>46355</wp:posOffset>
            </wp:positionH>
            <wp:positionV relativeFrom="paragraph">
              <wp:posOffset>-365760</wp:posOffset>
            </wp:positionV>
            <wp:extent cx="307467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9">
                      <a:extLst>
                        <a:ext uri="{28A0092B-C50C-407E-A947-70E740481C1C}">
                          <a14:useLocalDpi xmlns:a14="http://schemas.microsoft.com/office/drawing/2010/main" val="0"/>
                        </a:ext>
                      </a:extLst>
                    </a:blip>
                    <a:stretch>
                      <a:fillRect/>
                    </a:stretch>
                  </pic:blipFill>
                  <pic:spPr>
                    <a:xfrm>
                      <a:off x="0" y="0"/>
                      <a:ext cx="3074670" cy="1036320"/>
                    </a:xfrm>
                    <a:prstGeom prst="rect">
                      <a:avLst/>
                    </a:prstGeom>
                  </pic:spPr>
                </pic:pic>
              </a:graphicData>
            </a:graphic>
            <wp14:sizeRelH relativeFrom="page">
              <wp14:pctWidth>0</wp14:pctWidth>
            </wp14:sizeRelH>
            <wp14:sizeRelV relativeFrom="page">
              <wp14:pctHeight>0</wp14:pctHeight>
            </wp14:sizeRelV>
          </wp:anchor>
        </w:drawing>
      </w:r>
    </w:p>
    <w:p w14:paraId="08E68AE2" w14:textId="77777777" w:rsidR="00116DB5" w:rsidRPr="000062C9" w:rsidRDefault="00DC092D" w:rsidP="00394A5F">
      <w:pPr>
        <w:ind w:left="993"/>
        <w:jc w:val="both"/>
        <w:rPr>
          <w:rFonts w:ascii="Avenir Book" w:hAnsi="Avenir Book"/>
          <w:sz w:val="96"/>
          <w:szCs w:val="56"/>
          <w:lang w:val="en-GB"/>
        </w:rPr>
      </w:pPr>
      <w:r w:rsidRPr="000062C9">
        <w:rPr>
          <w:rFonts w:ascii="Avenir Book" w:hAnsi="Avenir Book"/>
          <w:noProof/>
          <w:sz w:val="48"/>
        </w:rPr>
        <mc:AlternateContent>
          <mc:Choice Requires="wps">
            <w:drawing>
              <wp:anchor distT="0" distB="0" distL="114300" distR="114300" simplePos="0" relativeHeight="251661312" behindDoc="0" locked="0" layoutInCell="1" allowOverlap="1" wp14:anchorId="64B5F46C" wp14:editId="56BF70E1">
                <wp:simplePos x="0" y="0"/>
                <wp:positionH relativeFrom="column">
                  <wp:posOffset>-2967990</wp:posOffset>
                </wp:positionH>
                <wp:positionV relativeFrom="paragraph">
                  <wp:posOffset>713740</wp:posOffset>
                </wp:positionV>
                <wp:extent cx="12065" cy="7839710"/>
                <wp:effectExtent l="25400" t="25400" r="38735" b="8890"/>
                <wp:wrapNone/>
                <wp:docPr id="11" name="Straight Connector 11"/>
                <wp:cNvGraphicFramePr/>
                <a:graphic xmlns:a="http://schemas.openxmlformats.org/drawingml/2006/main">
                  <a:graphicData uri="http://schemas.microsoft.com/office/word/2010/wordprocessingShape">
                    <wps:wsp>
                      <wps:cNvCnPr/>
                      <wps:spPr>
                        <a:xfrm>
                          <a:off x="0" y="0"/>
                          <a:ext cx="12065" cy="783971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5pt,56.2pt" to="-232.7pt,6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" strokecolor="#5a5a5a [2109]" strokeweight="3.75pt"/>
            </w:pict>
          </mc:Fallback>
        </mc:AlternateContent>
      </w:r>
    </w:p>
    <w:p w14:paraId="17F470F5" w14:textId="0F6AB215" w:rsidR="00DC092D" w:rsidRPr="000062C9" w:rsidRDefault="00DC092D" w:rsidP="00394A5F">
      <w:pPr>
        <w:ind w:left="993"/>
        <w:rPr>
          <w:rFonts w:ascii="Avenir Book" w:hAnsi="Avenir Book"/>
          <w:sz w:val="96"/>
          <w:szCs w:val="56"/>
          <w:lang w:val="en-GB"/>
        </w:rPr>
      </w:pPr>
      <w:r w:rsidRPr="000062C9">
        <w:rPr>
          <w:rFonts w:ascii="Avenir Book" w:hAnsi="Avenir Book"/>
          <w:sz w:val="96"/>
          <w:szCs w:val="56"/>
          <w:lang w:val="en-GB"/>
        </w:rPr>
        <w:t>Employment Law Exchange</w:t>
      </w:r>
    </w:p>
    <w:p w14:paraId="2A2532EE" w14:textId="302A4165" w:rsidR="00E02E95" w:rsidRPr="000062C9" w:rsidRDefault="00DC092D" w:rsidP="00BE3011">
      <w:pPr>
        <w:ind w:firstLine="720"/>
        <w:rPr>
          <w:rFonts w:ascii="Avenir Book" w:hAnsi="Avenir Book"/>
          <w:sz w:val="52"/>
          <w:szCs w:val="72"/>
          <w:lang w:val="en-GB"/>
        </w:rPr>
      </w:pPr>
      <w:bookmarkStart w:id="0" w:name="_GoBack"/>
      <w:bookmarkEnd w:id="0"/>
      <w:r w:rsidRPr="000062C9">
        <w:rPr>
          <w:rFonts w:ascii="Avenir Book" w:hAnsi="Avenir Book"/>
          <w:sz w:val="52"/>
          <w:szCs w:val="72"/>
          <w:lang w:val="en-GB"/>
        </w:rPr>
        <w:t xml:space="preserve">Date: </w:t>
      </w:r>
      <w:r w:rsidR="00394A5F">
        <w:rPr>
          <w:rFonts w:ascii="Avenir Book" w:hAnsi="Avenir Book"/>
          <w:sz w:val="52"/>
          <w:szCs w:val="72"/>
          <w:lang w:val="en-GB"/>
        </w:rPr>
        <w:t>18</w:t>
      </w:r>
      <w:r w:rsidRPr="000062C9">
        <w:rPr>
          <w:rFonts w:ascii="Avenir Book" w:hAnsi="Avenir Book"/>
          <w:sz w:val="52"/>
          <w:szCs w:val="72"/>
          <w:vertAlign w:val="superscript"/>
          <w:lang w:val="en-GB"/>
        </w:rPr>
        <w:t>th</w:t>
      </w:r>
      <w:r w:rsidRPr="000062C9">
        <w:rPr>
          <w:rFonts w:ascii="Avenir Book" w:hAnsi="Avenir Book"/>
          <w:sz w:val="52"/>
          <w:szCs w:val="72"/>
          <w:lang w:val="en-GB"/>
        </w:rPr>
        <w:t xml:space="preserve"> </w:t>
      </w:r>
      <w:r w:rsidR="00394A5F">
        <w:rPr>
          <w:rFonts w:ascii="Avenir Book" w:hAnsi="Avenir Book"/>
          <w:sz w:val="52"/>
          <w:szCs w:val="72"/>
          <w:lang w:val="en-GB"/>
        </w:rPr>
        <w:t>January 2019</w:t>
      </w:r>
    </w:p>
    <w:p w14:paraId="51B385AC" w14:textId="77777777" w:rsidR="00C62721" w:rsidRPr="000062C9" w:rsidRDefault="00C62721" w:rsidP="00394A5F">
      <w:pPr>
        <w:ind w:left="993"/>
        <w:rPr>
          <w:rFonts w:ascii="Avenir Book" w:hAnsi="Avenir Book"/>
          <w:sz w:val="52"/>
          <w:szCs w:val="72"/>
          <w:lang w:val="en-GB"/>
        </w:rPr>
      </w:pPr>
    </w:p>
    <w:p w14:paraId="3ACA6D48" w14:textId="239C82FB" w:rsidR="00394A5F" w:rsidRPr="00394A5F" w:rsidRDefault="004E3BB0" w:rsidP="00394A5F">
      <w:pPr>
        <w:ind w:left="720"/>
        <w:rPr>
          <w:rFonts w:ascii="Times" w:eastAsia="Times New Roman" w:hAnsi="Times" w:cs="Times New Roman"/>
          <w:sz w:val="20"/>
          <w:szCs w:val="20"/>
          <w:lang w:val="en-GB"/>
        </w:rPr>
      </w:pPr>
      <w:r w:rsidRPr="000062C9">
        <w:rPr>
          <w:rFonts w:ascii="Avenir Book" w:hAnsi="Avenir Book"/>
          <w:sz w:val="52"/>
          <w:szCs w:val="72"/>
          <w:lang w:val="en-GB"/>
        </w:rPr>
        <w:t xml:space="preserve">Venue: </w:t>
      </w:r>
      <w:r w:rsidR="00394A5F">
        <w:rPr>
          <w:rFonts w:ascii="Avenir Book" w:hAnsi="Avenir Book"/>
          <w:sz w:val="52"/>
          <w:szCs w:val="72"/>
          <w:lang w:val="en-GB"/>
        </w:rPr>
        <w:t xml:space="preserve">GoodmanDerrick, 10 St Bridge St, London, EC4A 4AD </w:t>
      </w:r>
    </w:p>
    <w:p w14:paraId="006AA3ED" w14:textId="77777777" w:rsidR="00E05B1B" w:rsidRPr="000062C9" w:rsidRDefault="00E05B1B" w:rsidP="00394A5F">
      <w:pPr>
        <w:rPr>
          <w:rFonts w:ascii="Avenir Book" w:hAnsi="Avenir Book"/>
          <w:sz w:val="52"/>
          <w:szCs w:val="72"/>
          <w:lang w:val="en-GB"/>
        </w:rPr>
      </w:pPr>
    </w:p>
    <w:p w14:paraId="649BD8DB" w14:textId="77777777" w:rsidR="00DC092D" w:rsidRPr="00394A5F" w:rsidRDefault="00DC092D" w:rsidP="00394A5F">
      <w:pPr>
        <w:ind w:firstLine="720"/>
        <w:rPr>
          <w:rFonts w:ascii="Avenir Book" w:hAnsi="Avenir Book"/>
          <w:sz w:val="56"/>
          <w:szCs w:val="72"/>
          <w:lang w:val="en-GB"/>
        </w:rPr>
      </w:pPr>
      <w:r w:rsidRPr="00394A5F">
        <w:rPr>
          <w:rFonts w:ascii="Avenir Book" w:hAnsi="Avenir Book"/>
          <w:sz w:val="56"/>
          <w:szCs w:val="72"/>
          <w:lang w:val="en-GB"/>
        </w:rPr>
        <w:t>Special Topic</w:t>
      </w:r>
    </w:p>
    <w:p w14:paraId="49DB2F03" w14:textId="717A15DA" w:rsidR="00E02E95" w:rsidRPr="000062C9" w:rsidRDefault="00F0540E" w:rsidP="00394A5F">
      <w:pPr>
        <w:ind w:left="993"/>
        <w:rPr>
          <w:rFonts w:ascii="Avenir Book" w:hAnsi="Avenir Book"/>
          <w:sz w:val="72"/>
          <w:szCs w:val="72"/>
          <w:lang w:val="en-GB"/>
        </w:rPr>
      </w:pPr>
      <w:r w:rsidRPr="000062C9">
        <w:rPr>
          <w:rFonts w:ascii="Avenir Book" w:hAnsi="Avenir Book"/>
          <w:color w:val="A86599"/>
          <w:sz w:val="56"/>
          <w:szCs w:val="28"/>
          <w:lang w:val="en-GB"/>
        </w:rPr>
        <w:t>“</w:t>
      </w:r>
      <w:r w:rsidR="00394A5F">
        <w:rPr>
          <w:rFonts w:ascii="Avenir Book" w:hAnsi="Avenir Book"/>
          <w:color w:val="A86599"/>
          <w:sz w:val="56"/>
          <w:szCs w:val="28"/>
          <w:lang w:val="en-GB"/>
        </w:rPr>
        <w:t>Contracts change and related matters</w:t>
      </w:r>
      <w:r w:rsidRPr="000062C9">
        <w:rPr>
          <w:rFonts w:ascii="Avenir Book" w:hAnsi="Avenir Book"/>
          <w:color w:val="A86599"/>
          <w:sz w:val="56"/>
          <w:szCs w:val="28"/>
          <w:lang w:val="en-GB"/>
        </w:rPr>
        <w:t>”</w:t>
      </w:r>
      <w:r w:rsidR="00DC092D" w:rsidRPr="000062C9">
        <w:rPr>
          <w:rFonts w:ascii="Avenir Book" w:hAnsi="Avenir Book"/>
          <w:color w:val="A86599"/>
          <w:sz w:val="56"/>
          <w:szCs w:val="28"/>
          <w:lang w:val="en-GB"/>
        </w:rPr>
        <w:t xml:space="preserve"> </w:t>
      </w:r>
    </w:p>
    <w:p w14:paraId="7D750E43" w14:textId="11D13650" w:rsidR="00116DB5" w:rsidRPr="003A6873" w:rsidRDefault="003A6873" w:rsidP="003A6873">
      <w:pPr>
        <w:rPr>
          <w:rFonts w:ascii="Avenir Book" w:hAnsi="Avenir Book"/>
          <w:sz w:val="72"/>
          <w:szCs w:val="72"/>
          <w:lang w:val="en-GB"/>
        </w:rPr>
      </w:pPr>
      <w:r>
        <w:rPr>
          <w:rFonts w:ascii="Avenir Book" w:hAnsi="Avenir Book"/>
          <w:sz w:val="72"/>
          <w:szCs w:val="72"/>
          <w:lang w:val="en-GB"/>
        </w:rPr>
        <w:br w:type="page"/>
      </w:r>
      <w:r w:rsidR="00F0540E" w:rsidRPr="000062C9">
        <w:rPr>
          <w:rFonts w:ascii="Avenir Book" w:hAnsi="Avenir Book"/>
          <w:sz w:val="72"/>
          <w:szCs w:val="72"/>
          <w:lang w:val="en-GB"/>
        </w:rPr>
        <w:lastRenderedPageBreak/>
        <w:br w:type="page"/>
      </w:r>
      <w:r w:rsidR="00D37588">
        <w:rPr>
          <w:rFonts w:ascii="Avenir Book" w:hAnsi="Avenir Book"/>
          <w:sz w:val="72"/>
          <w:szCs w:val="72"/>
          <w:lang w:val="en-GB"/>
        </w:rPr>
        <w:lastRenderedPageBreak/>
        <w:t xml:space="preserve">     </w:t>
      </w:r>
      <w:r w:rsidR="00394A5F">
        <w:rPr>
          <w:rFonts w:ascii="Avenir Roman" w:hAnsi="Avenir Roman"/>
          <w:sz w:val="36"/>
          <w:szCs w:val="28"/>
          <w:lang w:val="en-GB"/>
        </w:rPr>
        <w:t xml:space="preserve">Preamble </w:t>
      </w:r>
    </w:p>
    <w:p w14:paraId="6B776668" w14:textId="77777777" w:rsidR="00394A5F" w:rsidRPr="00394A5F" w:rsidRDefault="00394A5F" w:rsidP="00394A5F">
      <w:pPr>
        <w:ind w:left="993"/>
        <w:jc w:val="both"/>
        <w:rPr>
          <w:rFonts w:ascii="Avenir Book" w:hAnsi="Avenir Book"/>
          <w:i/>
          <w:sz w:val="28"/>
          <w:szCs w:val="28"/>
        </w:rPr>
      </w:pPr>
      <w:r w:rsidRPr="00394A5F">
        <w:rPr>
          <w:rFonts w:ascii="Avenir Book" w:hAnsi="Avenir Book"/>
          <w:sz w:val="28"/>
          <w:szCs w:val="28"/>
        </w:rPr>
        <w:t xml:space="preserve">Can we confirm or change the </w:t>
      </w:r>
      <w:r w:rsidRPr="00394A5F">
        <w:rPr>
          <w:rFonts w:ascii="Avenir Book" w:hAnsi="Avenir Book"/>
          <w:sz w:val="28"/>
          <w:szCs w:val="28"/>
          <w:u w:val="single"/>
        </w:rPr>
        <w:t>Special Topics</w:t>
      </w:r>
      <w:r w:rsidRPr="00394A5F">
        <w:rPr>
          <w:rFonts w:ascii="Avenir Book" w:hAnsi="Avenir Book"/>
          <w:sz w:val="28"/>
          <w:szCs w:val="28"/>
        </w:rPr>
        <w:t xml:space="preserve"> for 2019.</w:t>
      </w:r>
      <w:r w:rsidRPr="00394A5F">
        <w:rPr>
          <w:rFonts w:ascii="Avenir Book" w:hAnsi="Avenir Book"/>
          <w:i/>
          <w:sz w:val="28"/>
          <w:szCs w:val="28"/>
        </w:rPr>
        <w:t xml:space="preserve"> </w:t>
      </w:r>
    </w:p>
    <w:p w14:paraId="5EA0917A" w14:textId="77777777" w:rsidR="00394A5F" w:rsidRPr="00394A5F" w:rsidRDefault="00394A5F" w:rsidP="00394A5F">
      <w:pPr>
        <w:ind w:left="993"/>
        <w:jc w:val="both"/>
        <w:rPr>
          <w:rFonts w:ascii="Avenir Book" w:hAnsi="Avenir Book"/>
          <w:sz w:val="28"/>
          <w:szCs w:val="28"/>
        </w:rPr>
      </w:pPr>
      <w:r w:rsidRPr="00394A5F">
        <w:rPr>
          <w:rFonts w:ascii="Avenir Book" w:hAnsi="Avenir Book"/>
          <w:sz w:val="28"/>
          <w:szCs w:val="28"/>
        </w:rPr>
        <w:t>What has been suggested so far is;</w:t>
      </w:r>
    </w:p>
    <w:p w14:paraId="50F9CC29" w14:textId="77777777" w:rsidR="00394A5F" w:rsidRPr="00394A5F" w:rsidRDefault="00394A5F" w:rsidP="00394A5F">
      <w:pPr>
        <w:pStyle w:val="ListParagraph"/>
        <w:numPr>
          <w:ilvl w:val="0"/>
          <w:numId w:val="30"/>
        </w:numPr>
        <w:ind w:left="993"/>
        <w:jc w:val="both"/>
        <w:rPr>
          <w:rFonts w:ascii="Avenir Book" w:hAnsi="Avenir Book"/>
          <w:sz w:val="28"/>
          <w:szCs w:val="28"/>
        </w:rPr>
      </w:pPr>
      <w:r w:rsidRPr="00394A5F">
        <w:rPr>
          <w:rFonts w:ascii="Avenir Book" w:hAnsi="Avenir Book"/>
          <w:i/>
          <w:sz w:val="28"/>
          <w:szCs w:val="28"/>
        </w:rPr>
        <w:t>March</w:t>
      </w:r>
      <w:r w:rsidRPr="00394A5F">
        <w:rPr>
          <w:rFonts w:ascii="Avenir Book" w:hAnsi="Avenir Book"/>
          <w:sz w:val="28"/>
          <w:szCs w:val="28"/>
        </w:rPr>
        <w:t>- Pay and rewards</w:t>
      </w:r>
    </w:p>
    <w:p w14:paraId="1A1A2EBE" w14:textId="77777777" w:rsidR="00394A5F" w:rsidRPr="00394A5F" w:rsidRDefault="00394A5F" w:rsidP="00394A5F">
      <w:pPr>
        <w:pStyle w:val="ListParagraph"/>
        <w:numPr>
          <w:ilvl w:val="0"/>
          <w:numId w:val="30"/>
        </w:numPr>
        <w:ind w:left="993"/>
        <w:jc w:val="both"/>
        <w:rPr>
          <w:rFonts w:ascii="Avenir Book" w:hAnsi="Avenir Book"/>
          <w:sz w:val="28"/>
          <w:szCs w:val="28"/>
        </w:rPr>
      </w:pPr>
      <w:r w:rsidRPr="00394A5F">
        <w:rPr>
          <w:rFonts w:ascii="Avenir Book" w:hAnsi="Avenir Book"/>
          <w:i/>
          <w:sz w:val="28"/>
          <w:szCs w:val="28"/>
        </w:rPr>
        <w:t xml:space="preserve">May </w:t>
      </w:r>
      <w:r w:rsidRPr="00394A5F">
        <w:rPr>
          <w:rFonts w:ascii="Avenir Book" w:hAnsi="Avenir Book"/>
          <w:sz w:val="28"/>
          <w:szCs w:val="28"/>
        </w:rPr>
        <w:t>-Data, privacy, confidentiality and whistleblowing</w:t>
      </w:r>
    </w:p>
    <w:p w14:paraId="797FED6F" w14:textId="77777777" w:rsidR="00394A5F" w:rsidRPr="00394A5F" w:rsidRDefault="00394A5F" w:rsidP="00394A5F">
      <w:pPr>
        <w:pStyle w:val="ListParagraph"/>
        <w:numPr>
          <w:ilvl w:val="0"/>
          <w:numId w:val="30"/>
        </w:numPr>
        <w:ind w:left="993"/>
        <w:jc w:val="both"/>
        <w:rPr>
          <w:rFonts w:ascii="Avenir Book" w:hAnsi="Avenir Book"/>
          <w:sz w:val="28"/>
          <w:szCs w:val="28"/>
        </w:rPr>
      </w:pPr>
      <w:r w:rsidRPr="00394A5F">
        <w:rPr>
          <w:rFonts w:ascii="Avenir Book" w:hAnsi="Avenir Book"/>
          <w:i/>
          <w:sz w:val="28"/>
          <w:szCs w:val="28"/>
        </w:rPr>
        <w:t>June</w:t>
      </w:r>
      <w:r w:rsidRPr="00394A5F">
        <w:rPr>
          <w:rFonts w:ascii="Avenir Book" w:hAnsi="Avenir Book"/>
          <w:sz w:val="28"/>
          <w:szCs w:val="28"/>
        </w:rPr>
        <w:t xml:space="preserve"> -Equality law update</w:t>
      </w:r>
    </w:p>
    <w:p w14:paraId="3BC4C74A" w14:textId="77777777" w:rsidR="00394A5F" w:rsidRPr="00394A5F" w:rsidRDefault="00394A5F" w:rsidP="00394A5F">
      <w:pPr>
        <w:pStyle w:val="ListParagraph"/>
        <w:numPr>
          <w:ilvl w:val="0"/>
          <w:numId w:val="30"/>
        </w:numPr>
        <w:ind w:left="993"/>
        <w:jc w:val="both"/>
        <w:rPr>
          <w:rFonts w:ascii="Avenir Book" w:hAnsi="Avenir Book"/>
          <w:sz w:val="28"/>
          <w:szCs w:val="28"/>
        </w:rPr>
      </w:pPr>
      <w:r w:rsidRPr="00394A5F">
        <w:rPr>
          <w:rFonts w:ascii="Avenir Book" w:hAnsi="Avenir Book"/>
          <w:i/>
          <w:sz w:val="28"/>
          <w:szCs w:val="28"/>
        </w:rPr>
        <w:t>September</w:t>
      </w:r>
      <w:r w:rsidRPr="00394A5F">
        <w:rPr>
          <w:rFonts w:ascii="Avenir Book" w:hAnsi="Avenir Book"/>
          <w:sz w:val="28"/>
          <w:szCs w:val="28"/>
        </w:rPr>
        <w:t>-managing performance</w:t>
      </w:r>
    </w:p>
    <w:p w14:paraId="071E476A" w14:textId="77777777" w:rsidR="00394A5F" w:rsidRPr="00394A5F" w:rsidRDefault="00394A5F" w:rsidP="00394A5F">
      <w:pPr>
        <w:pStyle w:val="ListParagraph"/>
        <w:numPr>
          <w:ilvl w:val="0"/>
          <w:numId w:val="30"/>
        </w:numPr>
        <w:ind w:left="993"/>
        <w:jc w:val="both"/>
        <w:rPr>
          <w:rFonts w:ascii="Avenir Book" w:hAnsi="Avenir Book"/>
          <w:sz w:val="28"/>
          <w:szCs w:val="28"/>
        </w:rPr>
      </w:pPr>
      <w:r w:rsidRPr="00394A5F">
        <w:rPr>
          <w:rFonts w:ascii="Avenir Book" w:hAnsi="Avenir Book"/>
          <w:i/>
          <w:sz w:val="28"/>
          <w:szCs w:val="28"/>
        </w:rPr>
        <w:t>Novembe</w:t>
      </w:r>
      <w:r w:rsidRPr="00394A5F">
        <w:rPr>
          <w:rFonts w:ascii="Avenir Book" w:hAnsi="Avenir Book"/>
          <w:sz w:val="28"/>
          <w:szCs w:val="28"/>
        </w:rPr>
        <w:t>r- Misconduct and suspected misconduct</w:t>
      </w:r>
    </w:p>
    <w:p w14:paraId="2FA665B5" w14:textId="46598A0F" w:rsidR="00394A5F" w:rsidRPr="00394A5F" w:rsidRDefault="00394A5F" w:rsidP="00394A5F">
      <w:pPr>
        <w:pStyle w:val="ListParagraph"/>
        <w:numPr>
          <w:ilvl w:val="0"/>
          <w:numId w:val="30"/>
        </w:numPr>
        <w:ind w:left="993"/>
        <w:jc w:val="both"/>
        <w:rPr>
          <w:rFonts w:ascii="Avenir Book" w:hAnsi="Avenir Book"/>
          <w:sz w:val="28"/>
          <w:szCs w:val="28"/>
        </w:rPr>
      </w:pPr>
      <w:r w:rsidRPr="00394A5F">
        <w:rPr>
          <w:rFonts w:ascii="Avenir Book" w:hAnsi="Avenir Book"/>
          <w:i/>
          <w:sz w:val="28"/>
          <w:szCs w:val="28"/>
        </w:rPr>
        <w:t>December</w:t>
      </w:r>
      <w:r w:rsidRPr="00394A5F">
        <w:rPr>
          <w:rFonts w:ascii="Avenir Book" w:hAnsi="Avenir Book"/>
          <w:sz w:val="28"/>
          <w:szCs w:val="28"/>
        </w:rPr>
        <w:t>-Health, safety and well-being</w:t>
      </w:r>
      <w:r>
        <w:rPr>
          <w:rFonts w:ascii="Avenir Book" w:hAnsi="Avenir Book"/>
          <w:sz w:val="28"/>
          <w:szCs w:val="28"/>
        </w:rPr>
        <w:t xml:space="preserve"> </w:t>
      </w:r>
      <w:r w:rsidRPr="00394A5F">
        <w:rPr>
          <w:rFonts w:ascii="Avenir Book" w:hAnsi="Avenir Book"/>
          <w:sz w:val="28"/>
          <w:szCs w:val="28"/>
        </w:rPr>
        <w:t>(Or not!)</w:t>
      </w:r>
    </w:p>
    <w:p w14:paraId="1D988D13" w14:textId="77777777" w:rsidR="00394A5F" w:rsidRPr="00394A5F" w:rsidRDefault="00394A5F" w:rsidP="00394A5F">
      <w:pPr>
        <w:ind w:left="993"/>
        <w:jc w:val="both"/>
        <w:rPr>
          <w:rFonts w:ascii="Avenir Book" w:hAnsi="Avenir Book"/>
          <w:sz w:val="28"/>
          <w:szCs w:val="28"/>
        </w:rPr>
      </w:pPr>
    </w:p>
    <w:p w14:paraId="0068CDD9" w14:textId="77777777" w:rsidR="00394A5F" w:rsidRPr="00394A5F" w:rsidRDefault="00394A5F" w:rsidP="00394A5F">
      <w:pPr>
        <w:ind w:left="993"/>
        <w:jc w:val="both"/>
        <w:rPr>
          <w:rFonts w:ascii="Avenir Book" w:hAnsi="Avenir Book"/>
          <w:sz w:val="28"/>
          <w:szCs w:val="28"/>
        </w:rPr>
      </w:pPr>
      <w:r w:rsidRPr="00394A5F">
        <w:rPr>
          <w:rFonts w:ascii="Avenir Book" w:hAnsi="Avenir Book"/>
          <w:sz w:val="28"/>
          <w:szCs w:val="28"/>
        </w:rPr>
        <w:t>Thank you for some ideas that have come forward. Perhaps we can now re-consider?</w:t>
      </w:r>
    </w:p>
    <w:p w14:paraId="4FADBD4C" w14:textId="77777777" w:rsidR="00394A5F" w:rsidRPr="00394A5F" w:rsidRDefault="00394A5F" w:rsidP="00394A5F">
      <w:pPr>
        <w:ind w:left="993"/>
        <w:jc w:val="both"/>
        <w:rPr>
          <w:rFonts w:ascii="Avenir Book" w:hAnsi="Avenir Book"/>
          <w:sz w:val="28"/>
          <w:szCs w:val="28"/>
        </w:rPr>
      </w:pPr>
    </w:p>
    <w:p w14:paraId="5743E0AE" w14:textId="77777777" w:rsidR="00394A5F" w:rsidRPr="00632288" w:rsidRDefault="00394A5F" w:rsidP="00394A5F">
      <w:pPr>
        <w:ind w:left="993"/>
        <w:jc w:val="both"/>
        <w:rPr>
          <w:rFonts w:ascii="Avenir Book" w:hAnsi="Avenir Book"/>
          <w:sz w:val="44"/>
          <w:szCs w:val="44"/>
        </w:rPr>
      </w:pPr>
    </w:p>
    <w:p w14:paraId="620F53CB" w14:textId="77777777" w:rsidR="00394A5F" w:rsidRPr="00632288" w:rsidRDefault="00394A5F" w:rsidP="00394A5F">
      <w:pPr>
        <w:ind w:left="993"/>
        <w:jc w:val="both"/>
        <w:rPr>
          <w:rFonts w:ascii="Avenir Book" w:hAnsi="Avenir Book"/>
          <w:sz w:val="44"/>
          <w:szCs w:val="44"/>
        </w:rPr>
      </w:pPr>
    </w:p>
    <w:p w14:paraId="010E71C2" w14:textId="77777777" w:rsidR="00394A5F" w:rsidRPr="00632288" w:rsidRDefault="00394A5F" w:rsidP="00394A5F">
      <w:pPr>
        <w:ind w:left="993"/>
        <w:jc w:val="both"/>
        <w:rPr>
          <w:rFonts w:ascii="Avenir Book" w:hAnsi="Avenir Book"/>
          <w:sz w:val="44"/>
          <w:szCs w:val="44"/>
        </w:rPr>
      </w:pPr>
    </w:p>
    <w:p w14:paraId="222EDF3E" w14:textId="77777777" w:rsidR="00394A5F" w:rsidRPr="00632288" w:rsidRDefault="00394A5F" w:rsidP="00394A5F">
      <w:pPr>
        <w:ind w:left="993"/>
        <w:jc w:val="both"/>
        <w:rPr>
          <w:rFonts w:ascii="Avenir Book" w:hAnsi="Avenir Book"/>
          <w:b/>
          <w:sz w:val="44"/>
          <w:szCs w:val="44"/>
        </w:rPr>
      </w:pPr>
    </w:p>
    <w:p w14:paraId="5F08B0E7" w14:textId="77777777" w:rsidR="00394A5F" w:rsidRDefault="00394A5F" w:rsidP="00394A5F">
      <w:pPr>
        <w:ind w:left="993"/>
        <w:jc w:val="both"/>
        <w:rPr>
          <w:rFonts w:ascii="Avenir Roman" w:hAnsi="Avenir Roman"/>
          <w:sz w:val="36"/>
          <w:szCs w:val="28"/>
          <w:lang w:val="en-GB"/>
        </w:rPr>
      </w:pPr>
    </w:p>
    <w:p w14:paraId="52F11926" w14:textId="05AEFEF7" w:rsidR="00394A5F" w:rsidRPr="00EE43B1" w:rsidRDefault="00394A5F" w:rsidP="003A6873">
      <w:pPr>
        <w:ind w:left="993"/>
        <w:rPr>
          <w:rFonts w:ascii="Avenir Roman" w:hAnsi="Avenir Roman"/>
          <w:sz w:val="36"/>
          <w:szCs w:val="28"/>
          <w:lang w:val="en-GB"/>
        </w:rPr>
      </w:pPr>
      <w:r>
        <w:rPr>
          <w:rFonts w:ascii="Avenir Roman" w:hAnsi="Avenir Roman"/>
          <w:sz w:val="36"/>
          <w:szCs w:val="28"/>
          <w:lang w:val="en-GB"/>
        </w:rPr>
        <w:br w:type="page"/>
      </w:r>
    </w:p>
    <w:p w14:paraId="1FE949E5" w14:textId="003DBFF0" w:rsidR="00F0540E" w:rsidRPr="00A92724" w:rsidRDefault="00F0540E" w:rsidP="00394A5F">
      <w:pPr>
        <w:pStyle w:val="ListParagraph"/>
        <w:numPr>
          <w:ilvl w:val="0"/>
          <w:numId w:val="28"/>
        </w:numPr>
        <w:ind w:left="993"/>
        <w:jc w:val="both"/>
        <w:rPr>
          <w:rFonts w:ascii="Avenir Roman" w:hAnsi="Avenir Roman"/>
          <w:b/>
          <w:sz w:val="32"/>
          <w:szCs w:val="72"/>
          <w:lang w:val="en-GB"/>
        </w:rPr>
      </w:pPr>
      <w:r w:rsidRPr="00A92724">
        <w:rPr>
          <w:rFonts w:ascii="Avenir Roman" w:hAnsi="Avenir Roman"/>
          <w:b/>
          <w:sz w:val="36"/>
          <w:szCs w:val="28"/>
          <w:lang w:val="en-GB"/>
        </w:rPr>
        <w:lastRenderedPageBreak/>
        <w:t>News about and from Europe</w:t>
      </w:r>
    </w:p>
    <w:p w14:paraId="43243B7C" w14:textId="32A32511" w:rsidR="00394A5F" w:rsidRPr="00394A5F" w:rsidRDefault="00394A5F" w:rsidP="00394A5F">
      <w:pPr>
        <w:ind w:left="993"/>
        <w:rPr>
          <w:rFonts w:ascii="Avenir Book" w:hAnsi="Avenir Book"/>
          <w:sz w:val="28"/>
          <w:szCs w:val="28"/>
        </w:rPr>
      </w:pPr>
      <w:r w:rsidRPr="00394A5F">
        <w:rPr>
          <w:rFonts w:ascii="Avenir Book" w:hAnsi="Avenir Book"/>
          <w:sz w:val="28"/>
          <w:szCs w:val="28"/>
        </w:rPr>
        <w:t xml:space="preserve">Whatever happens with BREXIT, we anticipate the EU rules will continue to apply for a while, and the Convention and case-law of the ECHR will continue anyway as it is nothing to do with the EU. This means issues of ‘privacy’, ‘degrading </w:t>
      </w:r>
      <w:r w:rsidR="00BC7EFC" w:rsidRPr="00394A5F">
        <w:rPr>
          <w:rFonts w:ascii="Avenir Book" w:hAnsi="Avenir Book"/>
          <w:sz w:val="28"/>
          <w:szCs w:val="28"/>
        </w:rPr>
        <w:t>treatment’;</w:t>
      </w:r>
      <w:r w:rsidRPr="00394A5F">
        <w:rPr>
          <w:rFonts w:ascii="Avenir Book" w:hAnsi="Avenir Book"/>
          <w:sz w:val="28"/>
          <w:szCs w:val="28"/>
        </w:rPr>
        <w:t xml:space="preserve"> ‘family life’, right to a fair trial </w:t>
      </w:r>
      <w:r w:rsidR="00BC7EFC" w:rsidRPr="00394A5F">
        <w:rPr>
          <w:rFonts w:ascii="Avenir Book" w:hAnsi="Avenir Book"/>
          <w:sz w:val="28"/>
          <w:szCs w:val="28"/>
        </w:rPr>
        <w:t>etc.</w:t>
      </w:r>
      <w:r w:rsidRPr="00394A5F">
        <w:rPr>
          <w:rFonts w:ascii="Avenir Book" w:hAnsi="Avenir Book"/>
          <w:sz w:val="28"/>
          <w:szCs w:val="28"/>
        </w:rPr>
        <w:t xml:space="preserve"> </w:t>
      </w:r>
      <w:r w:rsidR="00BC7EFC" w:rsidRPr="00394A5F">
        <w:rPr>
          <w:rFonts w:ascii="Avenir Book" w:hAnsi="Avenir Book"/>
          <w:sz w:val="28"/>
          <w:szCs w:val="28"/>
        </w:rPr>
        <w:t>needs</w:t>
      </w:r>
      <w:r w:rsidRPr="00394A5F">
        <w:rPr>
          <w:rFonts w:ascii="Avenir Book" w:hAnsi="Avenir Book"/>
          <w:sz w:val="28"/>
          <w:szCs w:val="28"/>
        </w:rPr>
        <w:t xml:space="preserve"> to be checked still. In addition, the Convention and case-law are very </w:t>
      </w:r>
      <w:r w:rsidR="00BC7EFC" w:rsidRPr="00394A5F">
        <w:rPr>
          <w:rFonts w:ascii="Avenir Book" w:hAnsi="Avenir Book"/>
          <w:sz w:val="28"/>
          <w:szCs w:val="28"/>
        </w:rPr>
        <w:t>influential</w:t>
      </w:r>
      <w:r w:rsidRPr="00394A5F">
        <w:rPr>
          <w:rFonts w:ascii="Avenir Book" w:hAnsi="Avenir Book"/>
          <w:sz w:val="28"/>
          <w:szCs w:val="28"/>
        </w:rPr>
        <w:t xml:space="preserve"> in providing ideas for legislation, including of the EU. The General Data Protection Regulation is a case in point.</w:t>
      </w:r>
    </w:p>
    <w:p w14:paraId="600ADB7D" w14:textId="699702D0" w:rsidR="00394A5F" w:rsidRPr="00394A5F" w:rsidRDefault="00394A5F" w:rsidP="00394A5F">
      <w:pPr>
        <w:ind w:left="993"/>
        <w:rPr>
          <w:rFonts w:ascii="Avenir Book" w:hAnsi="Avenir Book"/>
          <w:sz w:val="28"/>
          <w:szCs w:val="28"/>
        </w:rPr>
      </w:pPr>
      <w:r w:rsidRPr="00394A5F">
        <w:rPr>
          <w:rFonts w:ascii="Avenir Book" w:hAnsi="Avenir Book"/>
          <w:sz w:val="28"/>
          <w:szCs w:val="28"/>
        </w:rPr>
        <w:t xml:space="preserve">From the EU-again influenced by the ECHR, we have the Copyright Directive-part of the on-going battles between the EU and the ‘big tech’ companies, especially Google. It is said </w:t>
      </w:r>
      <w:r w:rsidR="00BC7EFC" w:rsidRPr="00394A5F">
        <w:rPr>
          <w:rFonts w:ascii="Avenir Book" w:hAnsi="Avenir Book"/>
          <w:sz w:val="28"/>
          <w:szCs w:val="28"/>
        </w:rPr>
        <w:t>that, ‘the</w:t>
      </w:r>
      <w:r w:rsidRPr="00394A5F">
        <w:rPr>
          <w:rFonts w:ascii="Avenir Book" w:hAnsi="Avenir Book"/>
          <w:sz w:val="28"/>
          <w:szCs w:val="28"/>
        </w:rPr>
        <w:t xml:space="preserve"> very principle of copyright is at stake’ without it.</w:t>
      </w:r>
    </w:p>
    <w:p w14:paraId="1B932347" w14:textId="1CE49518" w:rsidR="00394A5F" w:rsidRPr="00394A5F" w:rsidRDefault="00394A5F" w:rsidP="00394A5F">
      <w:pPr>
        <w:ind w:left="993"/>
        <w:rPr>
          <w:rFonts w:ascii="Avenir Book" w:hAnsi="Avenir Book"/>
          <w:sz w:val="28"/>
          <w:szCs w:val="28"/>
        </w:rPr>
      </w:pPr>
      <w:r w:rsidRPr="00394A5F">
        <w:rPr>
          <w:rFonts w:ascii="Avenir Book" w:hAnsi="Avenir Book"/>
          <w:sz w:val="28"/>
          <w:szCs w:val="28"/>
        </w:rPr>
        <w:t xml:space="preserve">The EU has Parliament Elections and a new Commission from May 2019. </w:t>
      </w:r>
      <w:r w:rsidR="00BC7EFC" w:rsidRPr="00394A5F">
        <w:rPr>
          <w:rFonts w:ascii="Avenir Book" w:hAnsi="Avenir Book"/>
          <w:sz w:val="28"/>
          <w:szCs w:val="28"/>
        </w:rPr>
        <w:t>It will</w:t>
      </w:r>
      <w:r w:rsidR="00BC7EFC">
        <w:rPr>
          <w:rFonts w:ascii="Avenir Book" w:hAnsi="Avenir Book"/>
          <w:sz w:val="28"/>
          <w:szCs w:val="28"/>
        </w:rPr>
        <w:t xml:space="preserve"> be</w:t>
      </w:r>
      <w:r w:rsidR="00BC7EFC" w:rsidRPr="00394A5F">
        <w:rPr>
          <w:rFonts w:ascii="Avenir Book" w:hAnsi="Avenir Book"/>
          <w:sz w:val="28"/>
          <w:szCs w:val="28"/>
        </w:rPr>
        <w:t xml:space="preserve"> interesting to see what happens and especially who will replace J-C Junker.</w:t>
      </w:r>
    </w:p>
    <w:p w14:paraId="76BD1E9A" w14:textId="101D36A7" w:rsidR="00394A5F" w:rsidRPr="00394A5F" w:rsidRDefault="00394A5F" w:rsidP="00394A5F">
      <w:pPr>
        <w:ind w:left="993"/>
        <w:rPr>
          <w:rFonts w:ascii="Avenir Book" w:hAnsi="Avenir Book"/>
          <w:sz w:val="28"/>
          <w:szCs w:val="28"/>
        </w:rPr>
      </w:pPr>
      <w:r w:rsidRPr="00394A5F">
        <w:rPr>
          <w:rFonts w:ascii="Avenir Book" w:hAnsi="Avenir Book"/>
          <w:sz w:val="28"/>
          <w:szCs w:val="28"/>
        </w:rPr>
        <w:t xml:space="preserve">Clear if we leave the EU in </w:t>
      </w:r>
      <w:r w:rsidR="00BC7EFC" w:rsidRPr="00394A5F">
        <w:rPr>
          <w:rFonts w:ascii="Avenir Book" w:hAnsi="Avenir Book"/>
          <w:sz w:val="28"/>
          <w:szCs w:val="28"/>
        </w:rPr>
        <w:t>March, following</w:t>
      </w:r>
      <w:r w:rsidRPr="00394A5F">
        <w:rPr>
          <w:rFonts w:ascii="Avenir Book" w:hAnsi="Avenir Book"/>
          <w:sz w:val="28"/>
          <w:szCs w:val="28"/>
        </w:rPr>
        <w:t xml:space="preserve"> a so-called ‘hard BREXIT we will need to look at the law and HR implications in some detail.</w:t>
      </w:r>
    </w:p>
    <w:p w14:paraId="56078E1C" w14:textId="746EAB15" w:rsidR="00EE43B1" w:rsidRDefault="00394A5F" w:rsidP="003A6873">
      <w:pPr>
        <w:ind w:left="993"/>
        <w:rPr>
          <w:rFonts w:ascii="Avenir Book" w:hAnsi="Avenir Book"/>
          <w:sz w:val="28"/>
          <w:szCs w:val="28"/>
        </w:rPr>
      </w:pPr>
      <w:r w:rsidRPr="00394A5F">
        <w:rPr>
          <w:rFonts w:ascii="Avenir Book" w:hAnsi="Avenir Book"/>
          <w:sz w:val="28"/>
          <w:szCs w:val="28"/>
        </w:rPr>
        <w:t xml:space="preserve"> In the meantime, the Bulgarians have taken over the Presidency……….</w:t>
      </w:r>
    </w:p>
    <w:p w14:paraId="54A62A3B" w14:textId="77777777" w:rsidR="003A6873" w:rsidRPr="003A6873" w:rsidRDefault="003A6873" w:rsidP="003A6873">
      <w:pPr>
        <w:ind w:left="993"/>
        <w:rPr>
          <w:rFonts w:ascii="Avenir Book" w:hAnsi="Avenir Book"/>
          <w:sz w:val="28"/>
          <w:szCs w:val="28"/>
        </w:rPr>
      </w:pPr>
    </w:p>
    <w:p w14:paraId="43575F47" w14:textId="1B1DDD69" w:rsidR="00F0540E" w:rsidRPr="00F56297" w:rsidRDefault="00105A82" w:rsidP="00394A5F">
      <w:pPr>
        <w:pStyle w:val="ListParagraph"/>
        <w:numPr>
          <w:ilvl w:val="0"/>
          <w:numId w:val="28"/>
        </w:numPr>
        <w:ind w:left="993"/>
        <w:jc w:val="both"/>
        <w:rPr>
          <w:rFonts w:ascii="Avenir Roman" w:hAnsi="Avenir Roman"/>
          <w:b/>
          <w:sz w:val="36"/>
          <w:szCs w:val="32"/>
          <w:lang w:val="en-GB"/>
        </w:rPr>
      </w:pPr>
      <w:r w:rsidRPr="00F56297">
        <w:rPr>
          <w:rFonts w:ascii="Avenir Roman" w:hAnsi="Avenir Roman"/>
          <w:b/>
          <w:sz w:val="36"/>
          <w:szCs w:val="32"/>
          <w:lang w:val="en-GB"/>
        </w:rPr>
        <w:t>UK Government Policy And Law</w:t>
      </w:r>
    </w:p>
    <w:p w14:paraId="5A3B26E9"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 xml:space="preserve">Perhaps it has been inevitable that little has happened since our last meeting. However, there is one major item and that is the Government’s response to the Consultations following the publication of the </w:t>
      </w:r>
      <w:r w:rsidRPr="00632288">
        <w:rPr>
          <w:rFonts w:ascii="Avenir Book" w:hAnsi="Avenir Book"/>
          <w:b/>
          <w:sz w:val="28"/>
          <w:szCs w:val="28"/>
        </w:rPr>
        <w:t>Taylor Review</w:t>
      </w:r>
      <w:r w:rsidRPr="00632288">
        <w:rPr>
          <w:rFonts w:ascii="Avenir Book" w:hAnsi="Avenir Book"/>
          <w:sz w:val="28"/>
          <w:szCs w:val="28"/>
        </w:rPr>
        <w:t xml:space="preserve"> in June 2017. I suggest we use this as an Agenda for Change for 2019, as many of the items are relatively straightforward and easy to put into effect and have, anyway, been widely forecast. We will do this at the end of this section.</w:t>
      </w:r>
    </w:p>
    <w:p w14:paraId="2A50AF8F" w14:textId="77777777" w:rsidR="00394A5F" w:rsidRPr="00D37588" w:rsidRDefault="00394A5F" w:rsidP="00394A5F">
      <w:pPr>
        <w:ind w:left="993"/>
        <w:jc w:val="both"/>
        <w:rPr>
          <w:rFonts w:ascii="Avenir Book" w:hAnsi="Avenir Book"/>
          <w:b/>
          <w:sz w:val="28"/>
          <w:szCs w:val="28"/>
        </w:rPr>
      </w:pPr>
      <w:r w:rsidRPr="00D37588">
        <w:rPr>
          <w:rFonts w:ascii="Avenir Book" w:hAnsi="Avenir Book"/>
          <w:b/>
          <w:sz w:val="28"/>
          <w:szCs w:val="28"/>
        </w:rPr>
        <w:lastRenderedPageBreak/>
        <w:t>We have a few other items to note</w:t>
      </w:r>
      <w:proofErr w:type="gramStart"/>
      <w:r w:rsidRPr="00D37588">
        <w:rPr>
          <w:rFonts w:ascii="Avenir Book" w:hAnsi="Avenir Book"/>
          <w:b/>
          <w:sz w:val="28"/>
          <w:szCs w:val="28"/>
        </w:rPr>
        <w:t>;</w:t>
      </w:r>
      <w:proofErr w:type="gramEnd"/>
    </w:p>
    <w:p w14:paraId="746BBE8A" w14:textId="11DD2460" w:rsidR="00394A5F" w:rsidRPr="00632288" w:rsidRDefault="00BC7EFC" w:rsidP="00394A5F">
      <w:pPr>
        <w:pStyle w:val="ListParagraph"/>
        <w:numPr>
          <w:ilvl w:val="0"/>
          <w:numId w:val="31"/>
        </w:numPr>
        <w:spacing w:after="160" w:line="259" w:lineRule="auto"/>
        <w:ind w:left="993"/>
        <w:jc w:val="both"/>
        <w:rPr>
          <w:rFonts w:ascii="Avenir Book" w:hAnsi="Avenir Book"/>
          <w:sz w:val="28"/>
          <w:szCs w:val="28"/>
        </w:rPr>
      </w:pPr>
      <w:r w:rsidRPr="00632288">
        <w:rPr>
          <w:rFonts w:ascii="Avenir Book" w:hAnsi="Avenir Book"/>
          <w:sz w:val="28"/>
          <w:szCs w:val="28"/>
        </w:rPr>
        <w:t>APSCO has reported a recent 3% decline</w:t>
      </w:r>
      <w:r>
        <w:rPr>
          <w:rFonts w:ascii="Avenir Book" w:hAnsi="Avenir Book"/>
          <w:sz w:val="28"/>
          <w:szCs w:val="28"/>
        </w:rPr>
        <w:t xml:space="preserve"> in demand for permanent talent,</w:t>
      </w:r>
      <w:r w:rsidRPr="00632288">
        <w:rPr>
          <w:rFonts w:ascii="Avenir Book" w:hAnsi="Avenir Book"/>
          <w:sz w:val="28"/>
          <w:szCs w:val="28"/>
        </w:rPr>
        <w:t xml:space="preserve"> and 6.1% for contingent workers.</w:t>
      </w:r>
    </w:p>
    <w:p w14:paraId="647999CF" w14:textId="2204F56B" w:rsidR="00394A5F" w:rsidRPr="00632288" w:rsidRDefault="00394A5F" w:rsidP="00394A5F">
      <w:pPr>
        <w:pStyle w:val="ListParagraph"/>
        <w:numPr>
          <w:ilvl w:val="0"/>
          <w:numId w:val="31"/>
        </w:numPr>
        <w:spacing w:after="160" w:line="259" w:lineRule="auto"/>
        <w:ind w:left="993"/>
        <w:jc w:val="both"/>
        <w:rPr>
          <w:rFonts w:ascii="Avenir Book" w:hAnsi="Avenir Book"/>
          <w:sz w:val="28"/>
          <w:szCs w:val="28"/>
        </w:rPr>
      </w:pPr>
      <w:r w:rsidRPr="00632288">
        <w:rPr>
          <w:rFonts w:ascii="Avenir Book" w:hAnsi="Avenir Book"/>
          <w:sz w:val="28"/>
          <w:szCs w:val="28"/>
        </w:rPr>
        <w:t xml:space="preserve">CIPD’s </w:t>
      </w:r>
      <w:r w:rsidR="00BC7EFC">
        <w:rPr>
          <w:rFonts w:ascii="Avenir Book" w:hAnsi="Avenir Book"/>
          <w:sz w:val="28"/>
          <w:szCs w:val="28"/>
        </w:rPr>
        <w:t>program</w:t>
      </w:r>
      <w:r w:rsidRPr="00632288">
        <w:rPr>
          <w:rFonts w:ascii="Avenir Book" w:hAnsi="Avenir Book"/>
          <w:sz w:val="28"/>
          <w:szCs w:val="28"/>
        </w:rPr>
        <w:t xml:space="preserve"> ‘Future Work is Human’ has reflected on the responses to the equal pay gap reporting exercise of 2018</w:t>
      </w:r>
      <w:r w:rsidR="00BC7EFC" w:rsidRPr="00632288">
        <w:rPr>
          <w:rFonts w:ascii="Avenir Book" w:hAnsi="Avenir Book"/>
          <w:sz w:val="28"/>
          <w:szCs w:val="28"/>
        </w:rPr>
        <w:t>. (</w:t>
      </w:r>
      <w:r w:rsidRPr="00632288">
        <w:rPr>
          <w:rFonts w:ascii="Avenir Book" w:hAnsi="Avenir Book"/>
          <w:sz w:val="28"/>
          <w:szCs w:val="28"/>
        </w:rPr>
        <w:t>It is repeated this year). Many employers are still reporting problems and misunderstandings with the methodology. Some appear not to understand ‘mean’ and ‘median’ and some of the ‘narratives’ were very limited. This time two things might happen-less publicity but also growing expectations about the measures to close the gap.</w:t>
      </w:r>
    </w:p>
    <w:p w14:paraId="280E86C6" w14:textId="77777777" w:rsidR="00394A5F" w:rsidRPr="00632288" w:rsidRDefault="00394A5F" w:rsidP="00394A5F">
      <w:pPr>
        <w:pStyle w:val="ListParagraph"/>
        <w:ind w:left="993"/>
        <w:jc w:val="both"/>
        <w:rPr>
          <w:rFonts w:ascii="Avenir Book" w:hAnsi="Avenir Book"/>
          <w:sz w:val="28"/>
          <w:szCs w:val="28"/>
        </w:rPr>
      </w:pPr>
      <w:r w:rsidRPr="00632288">
        <w:rPr>
          <w:rFonts w:ascii="Avenir Book" w:hAnsi="Avenir Book"/>
          <w:sz w:val="28"/>
          <w:szCs w:val="28"/>
        </w:rPr>
        <w:t>One specific recommendation was to move away from paying minimum rates when recruiting. Women appear less able to negotiate than men. The point to note was that evidence is now piling up that diverse workplace cultures do add up to ‘winning cultures’.</w:t>
      </w:r>
    </w:p>
    <w:p w14:paraId="505514F9" w14:textId="77777777" w:rsidR="00394A5F" w:rsidRPr="00632288" w:rsidRDefault="00394A5F" w:rsidP="00394A5F">
      <w:pPr>
        <w:pStyle w:val="ListParagraph"/>
        <w:ind w:left="993"/>
        <w:jc w:val="both"/>
        <w:rPr>
          <w:rFonts w:ascii="Avenir Book" w:hAnsi="Avenir Book"/>
          <w:sz w:val="28"/>
          <w:szCs w:val="28"/>
        </w:rPr>
      </w:pPr>
    </w:p>
    <w:p w14:paraId="6B127364" w14:textId="1E209C76" w:rsidR="00394A5F" w:rsidRPr="00632288" w:rsidRDefault="00394A5F" w:rsidP="00394A5F">
      <w:pPr>
        <w:pStyle w:val="ListParagraph"/>
        <w:numPr>
          <w:ilvl w:val="0"/>
          <w:numId w:val="31"/>
        </w:numPr>
        <w:spacing w:after="160" w:line="259" w:lineRule="auto"/>
        <w:ind w:left="993"/>
        <w:jc w:val="both"/>
        <w:rPr>
          <w:rFonts w:ascii="Avenir Book" w:hAnsi="Avenir Book"/>
          <w:b/>
          <w:sz w:val="28"/>
          <w:szCs w:val="28"/>
        </w:rPr>
      </w:pPr>
      <w:r w:rsidRPr="00632288">
        <w:rPr>
          <w:rFonts w:ascii="Avenir Book" w:hAnsi="Avenir Book"/>
          <w:sz w:val="28"/>
          <w:szCs w:val="28"/>
        </w:rPr>
        <w:t xml:space="preserve">The updates on the </w:t>
      </w:r>
      <w:r w:rsidRPr="00632288">
        <w:rPr>
          <w:rFonts w:ascii="Avenir Book" w:hAnsi="Avenir Book"/>
          <w:b/>
          <w:sz w:val="28"/>
          <w:szCs w:val="28"/>
        </w:rPr>
        <w:t xml:space="preserve">Taylor Review. </w:t>
      </w:r>
      <w:r w:rsidRPr="00632288">
        <w:rPr>
          <w:rFonts w:ascii="Avenir Book" w:hAnsi="Avenir Book"/>
          <w:sz w:val="28"/>
          <w:szCs w:val="28"/>
        </w:rPr>
        <w:t>It will be recalled that the review was very wide-ranging and focused mainly on what many consider to be unfair or poor practices, legislation etc. This was followed by four Consultations, and finally the publication on 17</w:t>
      </w:r>
      <w:r w:rsidRPr="00632288">
        <w:rPr>
          <w:rFonts w:ascii="Avenir Book" w:hAnsi="Avenir Book"/>
          <w:sz w:val="28"/>
          <w:szCs w:val="28"/>
          <w:vertAlign w:val="superscript"/>
        </w:rPr>
        <w:t>th</w:t>
      </w:r>
      <w:r w:rsidRPr="00632288">
        <w:rPr>
          <w:rFonts w:ascii="Avenir Book" w:hAnsi="Avenir Book"/>
          <w:sz w:val="28"/>
          <w:szCs w:val="28"/>
        </w:rPr>
        <w:t xml:space="preserve"> December of the government’s response in the form of </w:t>
      </w:r>
      <w:r w:rsidR="00BC7EFC" w:rsidRPr="00632288">
        <w:rPr>
          <w:rFonts w:ascii="Avenir Book" w:hAnsi="Avenir Book"/>
          <w:sz w:val="28"/>
          <w:szCs w:val="28"/>
        </w:rPr>
        <w:t>the Good</w:t>
      </w:r>
      <w:r w:rsidRPr="00632288">
        <w:rPr>
          <w:rFonts w:ascii="Avenir Book" w:hAnsi="Avenir Book"/>
          <w:sz w:val="28"/>
          <w:szCs w:val="28"/>
          <w:u w:val="single"/>
        </w:rPr>
        <w:t xml:space="preserve"> Work Plan. </w:t>
      </w:r>
      <w:r w:rsidRPr="00632288">
        <w:rPr>
          <w:rFonts w:ascii="Avenir Book" w:hAnsi="Avenir Book"/>
          <w:sz w:val="28"/>
          <w:szCs w:val="28"/>
        </w:rPr>
        <w:t>Of the 53 proposals emerging from Consultations, the government accepted 51 of them! This has set our Agenda for 2019</w:t>
      </w:r>
    </w:p>
    <w:p w14:paraId="3DE1A27D" w14:textId="77777777" w:rsidR="00394A5F" w:rsidRPr="00632288" w:rsidRDefault="00394A5F" w:rsidP="00394A5F">
      <w:pPr>
        <w:ind w:left="993"/>
        <w:jc w:val="both"/>
        <w:rPr>
          <w:rFonts w:ascii="Avenir Book" w:hAnsi="Avenir Book"/>
          <w:b/>
          <w:sz w:val="28"/>
          <w:szCs w:val="28"/>
        </w:rPr>
      </w:pPr>
      <w:proofErr w:type="gramStart"/>
      <w:r w:rsidRPr="00632288">
        <w:rPr>
          <w:rFonts w:ascii="Avenir Book" w:hAnsi="Avenir Book"/>
          <w:b/>
          <w:sz w:val="28"/>
          <w:szCs w:val="28"/>
        </w:rPr>
        <w:t>The Change Agenda for 2019.</w:t>
      </w:r>
      <w:proofErr w:type="gramEnd"/>
    </w:p>
    <w:p w14:paraId="2CA3D09E" w14:textId="15E65E1C" w:rsidR="00394A5F" w:rsidRPr="00632288" w:rsidRDefault="00394A5F" w:rsidP="003A6873">
      <w:pPr>
        <w:ind w:left="273" w:firstLine="720"/>
        <w:jc w:val="both"/>
        <w:rPr>
          <w:rFonts w:ascii="Avenir Book" w:hAnsi="Avenir Book"/>
          <w:sz w:val="28"/>
          <w:szCs w:val="28"/>
        </w:rPr>
      </w:pPr>
      <w:r w:rsidRPr="00632288">
        <w:rPr>
          <w:rFonts w:ascii="Avenir Book" w:hAnsi="Avenir Book"/>
          <w:sz w:val="28"/>
          <w:szCs w:val="28"/>
        </w:rPr>
        <w:t xml:space="preserve">It should first of all be noted that a few items are seen as ‘core’ </w:t>
      </w:r>
      <w:r w:rsidR="00BC7EFC" w:rsidRPr="00632288">
        <w:rPr>
          <w:rFonts w:ascii="Avenir Book" w:hAnsi="Avenir Book"/>
          <w:sz w:val="28"/>
          <w:szCs w:val="28"/>
        </w:rPr>
        <w:t>they</w:t>
      </w:r>
      <w:r w:rsidRPr="00632288">
        <w:rPr>
          <w:rFonts w:ascii="Avenir Book" w:hAnsi="Avenir Book"/>
          <w:sz w:val="28"/>
          <w:szCs w:val="28"/>
        </w:rPr>
        <w:t xml:space="preserve"> are;</w:t>
      </w:r>
    </w:p>
    <w:p w14:paraId="2386F79F" w14:textId="77777777" w:rsidR="00394A5F" w:rsidRPr="003A6873" w:rsidRDefault="00394A5F" w:rsidP="003A6873">
      <w:pPr>
        <w:pStyle w:val="ListParagraph"/>
        <w:numPr>
          <w:ilvl w:val="0"/>
          <w:numId w:val="34"/>
        </w:numPr>
        <w:spacing w:after="160" w:line="259" w:lineRule="auto"/>
        <w:jc w:val="both"/>
        <w:rPr>
          <w:rFonts w:ascii="Avenir Book" w:hAnsi="Avenir Book"/>
          <w:sz w:val="28"/>
          <w:szCs w:val="28"/>
        </w:rPr>
      </w:pPr>
      <w:r w:rsidRPr="003A6873">
        <w:rPr>
          <w:rFonts w:ascii="Avenir Book" w:hAnsi="Avenir Book"/>
          <w:sz w:val="28"/>
          <w:szCs w:val="28"/>
        </w:rPr>
        <w:t>To clarify the rules on ‘employment status’ so as to reduce ‘bogus self-employment’ and to do this by strengthening notions of ‘control and supervision’</w:t>
      </w:r>
    </w:p>
    <w:p w14:paraId="0BD64769" w14:textId="77777777" w:rsidR="00394A5F" w:rsidRPr="003A6873" w:rsidRDefault="00394A5F" w:rsidP="003A6873">
      <w:pPr>
        <w:pStyle w:val="ListParagraph"/>
        <w:numPr>
          <w:ilvl w:val="0"/>
          <w:numId w:val="34"/>
        </w:numPr>
        <w:spacing w:after="160" w:line="259" w:lineRule="auto"/>
        <w:jc w:val="both"/>
        <w:rPr>
          <w:rFonts w:ascii="Avenir Book" w:hAnsi="Avenir Book"/>
          <w:sz w:val="28"/>
          <w:szCs w:val="28"/>
        </w:rPr>
      </w:pPr>
      <w:r w:rsidRPr="003A6873">
        <w:rPr>
          <w:rFonts w:ascii="Avenir Book" w:hAnsi="Avenir Book"/>
          <w:sz w:val="28"/>
          <w:szCs w:val="28"/>
        </w:rPr>
        <w:t>The three categories-employee, worker and self-employed to be retained</w:t>
      </w:r>
    </w:p>
    <w:p w14:paraId="367E46E9" w14:textId="77777777" w:rsidR="00394A5F" w:rsidRPr="003A6873" w:rsidRDefault="00394A5F" w:rsidP="003A6873">
      <w:pPr>
        <w:pStyle w:val="ListParagraph"/>
        <w:numPr>
          <w:ilvl w:val="0"/>
          <w:numId w:val="34"/>
        </w:numPr>
        <w:spacing w:after="160" w:line="259" w:lineRule="auto"/>
        <w:jc w:val="both"/>
        <w:rPr>
          <w:rFonts w:ascii="Avenir Book" w:hAnsi="Avenir Book"/>
          <w:sz w:val="28"/>
          <w:szCs w:val="28"/>
        </w:rPr>
      </w:pPr>
      <w:r w:rsidRPr="003A6873">
        <w:rPr>
          <w:rFonts w:ascii="Avenir Book" w:hAnsi="Avenir Book"/>
          <w:sz w:val="28"/>
          <w:szCs w:val="28"/>
        </w:rPr>
        <w:lastRenderedPageBreak/>
        <w:t>Better provision of work information. This is to be a Day 1 right for workers as well as employees. Fines will be imposed for non -compliance. Detail awaited</w:t>
      </w:r>
    </w:p>
    <w:p w14:paraId="2573223A" w14:textId="77777777" w:rsidR="00394A5F" w:rsidRPr="003A6873" w:rsidRDefault="00394A5F" w:rsidP="003A6873">
      <w:pPr>
        <w:pStyle w:val="ListParagraph"/>
        <w:numPr>
          <w:ilvl w:val="0"/>
          <w:numId w:val="34"/>
        </w:numPr>
        <w:spacing w:after="160" w:line="259" w:lineRule="auto"/>
        <w:jc w:val="both"/>
        <w:rPr>
          <w:rFonts w:ascii="Avenir Book" w:hAnsi="Avenir Book"/>
          <w:sz w:val="28"/>
          <w:szCs w:val="28"/>
        </w:rPr>
      </w:pPr>
      <w:r w:rsidRPr="003A6873">
        <w:rPr>
          <w:rFonts w:ascii="Avenir Book" w:hAnsi="Avenir Book"/>
          <w:sz w:val="28"/>
          <w:szCs w:val="28"/>
        </w:rPr>
        <w:t>A new right for gig and other intermittent workers to ‘request’ a permanent contract and/or guaranteed hours</w:t>
      </w:r>
    </w:p>
    <w:p w14:paraId="4CF4CCC8" w14:textId="77777777" w:rsidR="00394A5F" w:rsidRPr="003A6873" w:rsidRDefault="00394A5F" w:rsidP="003A6873">
      <w:pPr>
        <w:pStyle w:val="ListParagraph"/>
        <w:numPr>
          <w:ilvl w:val="0"/>
          <w:numId w:val="34"/>
        </w:numPr>
        <w:spacing w:after="160" w:line="259" w:lineRule="auto"/>
        <w:jc w:val="both"/>
        <w:rPr>
          <w:rFonts w:ascii="Avenir Book" w:hAnsi="Avenir Book"/>
          <w:sz w:val="28"/>
          <w:szCs w:val="28"/>
        </w:rPr>
      </w:pPr>
      <w:r w:rsidRPr="003A6873">
        <w:rPr>
          <w:rFonts w:ascii="Avenir Book" w:hAnsi="Avenir Book"/>
          <w:sz w:val="28"/>
          <w:szCs w:val="28"/>
        </w:rPr>
        <w:t>Abolition of the Swedish derogation for agency temps</w:t>
      </w:r>
    </w:p>
    <w:p w14:paraId="6660F9F5" w14:textId="151059A6" w:rsidR="00394A5F" w:rsidRPr="003A6873" w:rsidRDefault="00394A5F" w:rsidP="003A6873">
      <w:pPr>
        <w:pStyle w:val="ListParagraph"/>
        <w:numPr>
          <w:ilvl w:val="0"/>
          <w:numId w:val="34"/>
        </w:numPr>
        <w:spacing w:after="160" w:line="259" w:lineRule="auto"/>
        <w:jc w:val="both"/>
        <w:rPr>
          <w:rFonts w:ascii="Avenir Book" w:hAnsi="Avenir Book"/>
          <w:sz w:val="28"/>
          <w:szCs w:val="28"/>
        </w:rPr>
      </w:pPr>
      <w:r w:rsidRPr="003A6873">
        <w:rPr>
          <w:rFonts w:ascii="Avenir Book" w:hAnsi="Avenir Book"/>
          <w:sz w:val="28"/>
          <w:szCs w:val="28"/>
        </w:rPr>
        <w:t xml:space="preserve">Lowering the threshold </w:t>
      </w:r>
      <w:proofErr w:type="gramStart"/>
      <w:r w:rsidRPr="003A6873">
        <w:rPr>
          <w:rFonts w:ascii="Avenir Book" w:hAnsi="Avenir Book"/>
          <w:sz w:val="28"/>
          <w:szCs w:val="28"/>
        </w:rPr>
        <w:t>for I&amp;C purposes to 2%</w:t>
      </w:r>
      <w:r w:rsidR="00BC7EFC" w:rsidRPr="003A6873">
        <w:rPr>
          <w:rFonts w:ascii="Avenir Book" w:hAnsi="Avenir Book"/>
          <w:sz w:val="28"/>
          <w:szCs w:val="28"/>
        </w:rPr>
        <w:t>,</w:t>
      </w:r>
      <w:proofErr w:type="gramEnd"/>
      <w:r w:rsidR="00BC7EFC" w:rsidRPr="003A6873">
        <w:rPr>
          <w:rFonts w:ascii="Avenir Book" w:hAnsi="Avenir Book"/>
          <w:sz w:val="28"/>
          <w:szCs w:val="28"/>
        </w:rPr>
        <w:t xml:space="preserve"> m</w:t>
      </w:r>
      <w:r w:rsidRPr="003A6873">
        <w:rPr>
          <w:rFonts w:ascii="Avenir Book" w:hAnsi="Avenir Book"/>
          <w:sz w:val="28"/>
          <w:szCs w:val="28"/>
        </w:rPr>
        <w:t xml:space="preserve">aking requests for independent </w:t>
      </w:r>
      <w:r w:rsidR="00BC7EFC" w:rsidRPr="003A6873">
        <w:rPr>
          <w:rFonts w:ascii="Avenir Book" w:hAnsi="Avenir Book"/>
          <w:sz w:val="28"/>
          <w:szCs w:val="28"/>
        </w:rPr>
        <w:t>representation. Still</w:t>
      </w:r>
      <w:r w:rsidRPr="003A6873">
        <w:rPr>
          <w:rFonts w:ascii="Avenir Book" w:hAnsi="Avenir Book"/>
          <w:sz w:val="28"/>
          <w:szCs w:val="28"/>
        </w:rPr>
        <w:t xml:space="preserve"> a minimum of 15 staff required</w:t>
      </w:r>
    </w:p>
    <w:p w14:paraId="31621C06" w14:textId="77777777" w:rsidR="00394A5F" w:rsidRPr="00632288" w:rsidRDefault="00394A5F" w:rsidP="00394A5F">
      <w:pPr>
        <w:ind w:left="993"/>
        <w:jc w:val="both"/>
        <w:rPr>
          <w:rFonts w:ascii="Avenir Book" w:hAnsi="Avenir Book"/>
          <w:b/>
          <w:sz w:val="28"/>
          <w:szCs w:val="28"/>
        </w:rPr>
      </w:pPr>
      <w:r w:rsidRPr="00632288">
        <w:rPr>
          <w:rFonts w:ascii="Avenir Book" w:hAnsi="Avenir Book"/>
          <w:b/>
          <w:sz w:val="28"/>
          <w:szCs w:val="28"/>
        </w:rPr>
        <w:t>What about the document itself?</w:t>
      </w:r>
    </w:p>
    <w:p w14:paraId="1BD9DADD" w14:textId="21E5511F"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It is somewhat unus</w:t>
      </w:r>
      <w:r w:rsidR="00BC7EFC">
        <w:rPr>
          <w:rFonts w:ascii="Avenir Book" w:hAnsi="Avenir Book"/>
          <w:sz w:val="28"/>
          <w:szCs w:val="28"/>
        </w:rPr>
        <w:t>ual</w:t>
      </w:r>
      <w:r w:rsidRPr="00632288">
        <w:rPr>
          <w:rFonts w:ascii="Avenir Book" w:hAnsi="Avenir Book"/>
          <w:sz w:val="28"/>
          <w:szCs w:val="28"/>
        </w:rPr>
        <w:t>,</w:t>
      </w:r>
      <w:r w:rsidR="00BC7EFC">
        <w:rPr>
          <w:rFonts w:ascii="Avenir Book" w:hAnsi="Avenir Book"/>
          <w:sz w:val="28"/>
          <w:szCs w:val="28"/>
        </w:rPr>
        <w:t xml:space="preserve"> </w:t>
      </w:r>
      <w:r w:rsidRPr="00632288">
        <w:rPr>
          <w:rFonts w:ascii="Avenir Book" w:hAnsi="Avenir Book"/>
          <w:sz w:val="28"/>
          <w:szCs w:val="28"/>
        </w:rPr>
        <w:t xml:space="preserve">for although it foresees legislation it is not a White Paper and, generally is more aspirational than specific. It foresees further consultations. However, it does state its on-going commitment to a ‘flexible labour market’. We do still have relatively high employment levels and low unemployment along with increasing diversity but we also have income insecurity, regional imbalance, declining wages and emerging inequalities. The aims of the document are stated to be to achieve; </w:t>
      </w:r>
    </w:p>
    <w:p w14:paraId="0FAE0B1B" w14:textId="77777777" w:rsidR="00394A5F" w:rsidRPr="003A6873" w:rsidRDefault="00394A5F" w:rsidP="003A6873">
      <w:pPr>
        <w:pStyle w:val="ListParagraph"/>
        <w:numPr>
          <w:ilvl w:val="0"/>
          <w:numId w:val="35"/>
        </w:numPr>
        <w:spacing w:after="160" w:line="259" w:lineRule="auto"/>
        <w:jc w:val="both"/>
        <w:rPr>
          <w:rFonts w:ascii="Avenir Book" w:hAnsi="Avenir Book"/>
          <w:sz w:val="28"/>
          <w:szCs w:val="28"/>
        </w:rPr>
      </w:pPr>
      <w:r w:rsidRPr="003A6873">
        <w:rPr>
          <w:rFonts w:ascii="Avenir Book" w:hAnsi="Avenir Book"/>
          <w:sz w:val="28"/>
          <w:szCs w:val="28"/>
        </w:rPr>
        <w:t>Worker satisfaction</w:t>
      </w:r>
    </w:p>
    <w:p w14:paraId="22ECD4D7" w14:textId="77777777" w:rsidR="00394A5F" w:rsidRPr="003A6873" w:rsidRDefault="00394A5F" w:rsidP="003A6873">
      <w:pPr>
        <w:pStyle w:val="ListParagraph"/>
        <w:numPr>
          <w:ilvl w:val="0"/>
          <w:numId w:val="35"/>
        </w:numPr>
        <w:spacing w:after="160" w:line="259" w:lineRule="auto"/>
        <w:jc w:val="both"/>
        <w:rPr>
          <w:rFonts w:ascii="Avenir Book" w:hAnsi="Avenir Book"/>
          <w:sz w:val="28"/>
          <w:szCs w:val="28"/>
        </w:rPr>
      </w:pPr>
      <w:r w:rsidRPr="003A6873">
        <w:rPr>
          <w:rFonts w:ascii="Avenir Book" w:hAnsi="Avenir Book"/>
          <w:sz w:val="28"/>
          <w:szCs w:val="28"/>
        </w:rPr>
        <w:t>Good pay</w:t>
      </w:r>
    </w:p>
    <w:p w14:paraId="72AE0143" w14:textId="77777777" w:rsidR="00394A5F" w:rsidRPr="003A6873" w:rsidRDefault="00394A5F" w:rsidP="003A6873">
      <w:pPr>
        <w:pStyle w:val="ListParagraph"/>
        <w:numPr>
          <w:ilvl w:val="0"/>
          <w:numId w:val="35"/>
        </w:numPr>
        <w:spacing w:after="160" w:line="259" w:lineRule="auto"/>
        <w:jc w:val="both"/>
        <w:rPr>
          <w:rFonts w:ascii="Avenir Book" w:hAnsi="Avenir Book"/>
          <w:sz w:val="28"/>
          <w:szCs w:val="28"/>
        </w:rPr>
      </w:pPr>
      <w:r w:rsidRPr="003A6873">
        <w:rPr>
          <w:rFonts w:ascii="Avenir Book" w:hAnsi="Avenir Book"/>
          <w:sz w:val="28"/>
          <w:szCs w:val="28"/>
        </w:rPr>
        <w:t>Participation</w:t>
      </w:r>
    </w:p>
    <w:p w14:paraId="18735A48" w14:textId="77777777" w:rsidR="00394A5F" w:rsidRPr="003A6873" w:rsidRDefault="00394A5F" w:rsidP="003A6873">
      <w:pPr>
        <w:pStyle w:val="ListParagraph"/>
        <w:numPr>
          <w:ilvl w:val="0"/>
          <w:numId w:val="35"/>
        </w:numPr>
        <w:spacing w:after="160" w:line="259" w:lineRule="auto"/>
        <w:jc w:val="both"/>
        <w:rPr>
          <w:rFonts w:ascii="Avenir Book" w:hAnsi="Avenir Book"/>
          <w:sz w:val="28"/>
          <w:szCs w:val="28"/>
        </w:rPr>
      </w:pPr>
      <w:r w:rsidRPr="003A6873">
        <w:rPr>
          <w:rFonts w:ascii="Avenir Book" w:hAnsi="Avenir Book"/>
          <w:sz w:val="28"/>
          <w:szCs w:val="28"/>
        </w:rPr>
        <w:t>Well-being, safety and security</w:t>
      </w:r>
    </w:p>
    <w:p w14:paraId="1C5B4836" w14:textId="77777777" w:rsidR="00394A5F" w:rsidRPr="003A6873" w:rsidRDefault="00394A5F" w:rsidP="003A6873">
      <w:pPr>
        <w:pStyle w:val="ListParagraph"/>
        <w:numPr>
          <w:ilvl w:val="0"/>
          <w:numId w:val="35"/>
        </w:numPr>
        <w:spacing w:after="160" w:line="259" w:lineRule="auto"/>
        <w:jc w:val="both"/>
        <w:rPr>
          <w:rFonts w:ascii="Avenir Book" w:hAnsi="Avenir Book"/>
          <w:sz w:val="28"/>
          <w:szCs w:val="28"/>
        </w:rPr>
      </w:pPr>
      <w:r w:rsidRPr="003A6873">
        <w:rPr>
          <w:rFonts w:ascii="Avenir Book" w:hAnsi="Avenir Book"/>
          <w:sz w:val="28"/>
          <w:szCs w:val="28"/>
        </w:rPr>
        <w:t>Voice and autonomy.</w:t>
      </w:r>
    </w:p>
    <w:p w14:paraId="74EE011A"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In the future consultations, it is anticipated that the ‘new’ Director of Labour Market Enforcement will be pivotal.</w:t>
      </w:r>
    </w:p>
    <w:p w14:paraId="6A4730DB" w14:textId="394C17D3" w:rsidR="00394A5F" w:rsidRPr="00632288" w:rsidRDefault="00394A5F" w:rsidP="00E535BD">
      <w:pPr>
        <w:ind w:left="993"/>
        <w:jc w:val="both"/>
        <w:rPr>
          <w:rFonts w:ascii="Avenir Book" w:hAnsi="Avenir Book"/>
          <w:sz w:val="28"/>
          <w:szCs w:val="28"/>
        </w:rPr>
      </w:pPr>
      <w:r w:rsidRPr="00632288">
        <w:rPr>
          <w:rFonts w:ascii="Avenir Book" w:hAnsi="Avenir Book"/>
          <w:sz w:val="28"/>
          <w:szCs w:val="28"/>
        </w:rPr>
        <w:t xml:space="preserve">However, as it stands, the document is a rather ‘bitty’ and a short -term problem -solving tool. It is aiming to deal with the </w:t>
      </w:r>
      <w:r w:rsidRPr="00632288">
        <w:rPr>
          <w:rFonts w:ascii="Avenir Book" w:hAnsi="Avenir Book"/>
          <w:i/>
          <w:sz w:val="28"/>
          <w:szCs w:val="28"/>
        </w:rPr>
        <w:t>symptoms o</w:t>
      </w:r>
      <w:r w:rsidRPr="00632288">
        <w:rPr>
          <w:rFonts w:ascii="Avenir Book" w:hAnsi="Avenir Book"/>
          <w:sz w:val="28"/>
          <w:szCs w:val="28"/>
        </w:rPr>
        <w:t xml:space="preserve">f work problems rather than their </w:t>
      </w:r>
      <w:r w:rsidR="00BC7EFC" w:rsidRPr="00632288">
        <w:rPr>
          <w:rFonts w:ascii="Avenir Book" w:hAnsi="Avenir Book"/>
          <w:i/>
          <w:sz w:val="28"/>
          <w:szCs w:val="28"/>
        </w:rPr>
        <w:t>causes</w:t>
      </w:r>
      <w:r w:rsidR="00BC7EFC" w:rsidRPr="00632288">
        <w:rPr>
          <w:rFonts w:ascii="Avenir Book" w:hAnsi="Avenir Book"/>
          <w:sz w:val="28"/>
          <w:szCs w:val="28"/>
        </w:rPr>
        <w:t>. It</w:t>
      </w:r>
      <w:r w:rsidRPr="00632288">
        <w:rPr>
          <w:rFonts w:ascii="Avenir Book" w:hAnsi="Avenir Book"/>
          <w:sz w:val="28"/>
          <w:szCs w:val="28"/>
        </w:rPr>
        <w:t xml:space="preserve"> gives no hint that it will aim to tackle some of the major abuses by big MNCs, or problems with outsourcing/skills supply chains, the attempts to shift risks from employer to workers </w:t>
      </w:r>
      <w:r w:rsidR="00BC7EFC" w:rsidRPr="00632288">
        <w:rPr>
          <w:rFonts w:ascii="Avenir Book" w:hAnsi="Avenir Book"/>
          <w:sz w:val="28"/>
          <w:szCs w:val="28"/>
        </w:rPr>
        <w:t>etc.</w:t>
      </w:r>
      <w:r w:rsidRPr="00632288">
        <w:rPr>
          <w:rFonts w:ascii="Avenir Book" w:hAnsi="Avenir Book"/>
          <w:sz w:val="28"/>
          <w:szCs w:val="28"/>
        </w:rPr>
        <w:t xml:space="preserve"> etc. In that sense, it is not a very radical or controversial document. A few will be </w:t>
      </w:r>
      <w:r w:rsidRPr="00632288">
        <w:rPr>
          <w:rFonts w:ascii="Avenir Book" w:hAnsi="Avenir Book"/>
          <w:sz w:val="28"/>
          <w:szCs w:val="28"/>
        </w:rPr>
        <w:lastRenderedPageBreak/>
        <w:t>helped, but a huge number of basic issues remain if, indeed, you are really seeking to address some of problems mentioned above.</w:t>
      </w:r>
    </w:p>
    <w:p w14:paraId="482A292F" w14:textId="77777777" w:rsidR="00394A5F" w:rsidRPr="00632288" w:rsidRDefault="00394A5F" w:rsidP="00394A5F">
      <w:pPr>
        <w:ind w:left="993"/>
        <w:jc w:val="both"/>
        <w:rPr>
          <w:rFonts w:ascii="Avenir Book" w:hAnsi="Avenir Book"/>
          <w:b/>
          <w:sz w:val="28"/>
          <w:szCs w:val="28"/>
        </w:rPr>
      </w:pPr>
      <w:r w:rsidRPr="00632288">
        <w:rPr>
          <w:rFonts w:ascii="Avenir Book" w:hAnsi="Avenir Book"/>
          <w:b/>
          <w:sz w:val="28"/>
          <w:szCs w:val="28"/>
        </w:rPr>
        <w:t>Some specifics</w:t>
      </w:r>
    </w:p>
    <w:p w14:paraId="147AD1EF" w14:textId="30EFC5B7" w:rsidR="00394A5F" w:rsidRPr="00632288" w:rsidRDefault="00D37588" w:rsidP="00394A5F">
      <w:pPr>
        <w:pStyle w:val="ListParagraph"/>
        <w:numPr>
          <w:ilvl w:val="0"/>
          <w:numId w:val="33"/>
        </w:numPr>
        <w:spacing w:after="160" w:line="259" w:lineRule="auto"/>
        <w:ind w:left="993"/>
        <w:jc w:val="both"/>
        <w:rPr>
          <w:rFonts w:ascii="Avenir Book" w:hAnsi="Avenir Book"/>
          <w:b/>
          <w:sz w:val="28"/>
          <w:szCs w:val="28"/>
        </w:rPr>
      </w:pPr>
      <w:r>
        <w:rPr>
          <w:rFonts w:ascii="Avenir Book" w:hAnsi="Avenir Book"/>
          <w:b/>
          <w:sz w:val="28"/>
          <w:szCs w:val="28"/>
        </w:rPr>
        <w:t xml:space="preserve"> </w:t>
      </w:r>
      <w:r w:rsidR="00394A5F" w:rsidRPr="00632288">
        <w:rPr>
          <w:rFonts w:ascii="Avenir Book" w:hAnsi="Avenir Book"/>
          <w:b/>
          <w:sz w:val="28"/>
          <w:szCs w:val="28"/>
        </w:rPr>
        <w:t xml:space="preserve">Employment status </w:t>
      </w:r>
      <w:r w:rsidR="00BC7EFC" w:rsidRPr="00632288">
        <w:rPr>
          <w:rFonts w:ascii="Avenir Book" w:hAnsi="Avenir Book"/>
          <w:b/>
          <w:sz w:val="28"/>
          <w:szCs w:val="28"/>
        </w:rPr>
        <w:t>etc.</w:t>
      </w:r>
    </w:p>
    <w:p w14:paraId="46D479D7"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As referred to above the government does intend to legislate the ways to determine status by providing a clearer outline of the task and its ‘key principles’ and to do this in ‘primary legislation’. Although the three categories will be retained, the document proposes that ‘workers’ are renamed ‘dependent contractors’ (What do you think?). For this group ;’control’ to be more important than ‘personal execution of work’</w:t>
      </w:r>
    </w:p>
    <w:p w14:paraId="605319E6"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What might be the practical implications of these changes?</w:t>
      </w:r>
    </w:p>
    <w:p w14:paraId="6F1582DD" w14:textId="77777777" w:rsidR="00394A5F" w:rsidRPr="00632288" w:rsidRDefault="00394A5F" w:rsidP="00394A5F">
      <w:pPr>
        <w:ind w:left="993"/>
        <w:jc w:val="both"/>
        <w:rPr>
          <w:rFonts w:ascii="Avenir Book" w:hAnsi="Avenir Book"/>
          <w:sz w:val="28"/>
          <w:szCs w:val="28"/>
        </w:rPr>
      </w:pPr>
    </w:p>
    <w:p w14:paraId="274A5139" w14:textId="77777777" w:rsidR="00394A5F" w:rsidRPr="00632288" w:rsidRDefault="00394A5F" w:rsidP="00394A5F">
      <w:pPr>
        <w:ind w:left="993"/>
        <w:jc w:val="both"/>
        <w:rPr>
          <w:rFonts w:ascii="Avenir Book" w:hAnsi="Avenir Book"/>
          <w:sz w:val="28"/>
          <w:szCs w:val="28"/>
        </w:rPr>
      </w:pPr>
    </w:p>
    <w:p w14:paraId="691AB1C6" w14:textId="221D4F11"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The document also proposes that there should be more effort to ‘align’ tax and employment law, though it says the current system works well’ There is no mention of the IR35 changes-actual and pending-which we know has caused a lot of bother. Is the policy simply to get more into employee status? There will, though, be access to the on-line ‘status’ tool</w:t>
      </w:r>
      <w:r w:rsidR="00D37588">
        <w:rPr>
          <w:rFonts w:ascii="Avenir Book" w:hAnsi="Avenir Book"/>
          <w:sz w:val="28"/>
          <w:szCs w:val="28"/>
        </w:rPr>
        <w:t xml:space="preserve"> </w:t>
      </w:r>
      <w:r w:rsidRPr="00632288">
        <w:rPr>
          <w:rFonts w:ascii="Avenir Book" w:hAnsi="Avenir Book"/>
          <w:sz w:val="28"/>
          <w:szCs w:val="28"/>
        </w:rPr>
        <w:t>(Though many have complained about it).</w:t>
      </w:r>
    </w:p>
    <w:p w14:paraId="4022F05E" w14:textId="77777777" w:rsidR="00394A5F" w:rsidRPr="00632288" w:rsidRDefault="00394A5F" w:rsidP="00394A5F">
      <w:pPr>
        <w:ind w:left="993"/>
        <w:jc w:val="both"/>
        <w:rPr>
          <w:rFonts w:ascii="Avenir Book" w:hAnsi="Avenir Book"/>
          <w:sz w:val="28"/>
          <w:szCs w:val="28"/>
        </w:rPr>
      </w:pPr>
    </w:p>
    <w:p w14:paraId="176C0E28" w14:textId="44E49A25"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 xml:space="preserve">BEIS and HMRC to jointly </w:t>
      </w:r>
      <w:r w:rsidR="00BC7EFC" w:rsidRPr="00632288">
        <w:rPr>
          <w:rFonts w:ascii="Avenir Book" w:hAnsi="Avenir Book"/>
          <w:sz w:val="28"/>
          <w:szCs w:val="28"/>
        </w:rPr>
        <w:t>consult</w:t>
      </w:r>
      <w:r w:rsidRPr="00632288">
        <w:rPr>
          <w:rFonts w:ascii="Avenir Book" w:hAnsi="Avenir Book"/>
          <w:sz w:val="28"/>
          <w:szCs w:val="28"/>
        </w:rPr>
        <w:t xml:space="preserve"> on the matters in order to achieve’ greater clarity and certainty’. Interestingly, one of topics that really did need to be looked at is our reliance on ‘continuity of employment’ in order to access so many rights and benefits. The proposal was accepted that continuity </w:t>
      </w:r>
      <w:r w:rsidR="00BC7EFC" w:rsidRPr="00632288">
        <w:rPr>
          <w:rFonts w:ascii="Avenir Book" w:hAnsi="Avenir Book"/>
          <w:sz w:val="28"/>
          <w:szCs w:val="28"/>
        </w:rPr>
        <w:t>would</w:t>
      </w:r>
      <w:r w:rsidRPr="00632288">
        <w:rPr>
          <w:rFonts w:ascii="Avenir Book" w:hAnsi="Avenir Book"/>
          <w:sz w:val="28"/>
          <w:szCs w:val="28"/>
        </w:rPr>
        <w:t xml:space="preserve"> only be broken by a gap of one month, versus, one week.    Implications?</w:t>
      </w:r>
    </w:p>
    <w:p w14:paraId="2767DD5D" w14:textId="77777777" w:rsidR="00394A5F" w:rsidRPr="00632288" w:rsidRDefault="00394A5F" w:rsidP="00394A5F">
      <w:pPr>
        <w:ind w:left="993"/>
        <w:jc w:val="both"/>
        <w:rPr>
          <w:rFonts w:ascii="Avenir Book" w:hAnsi="Avenir Book"/>
          <w:sz w:val="28"/>
          <w:szCs w:val="28"/>
        </w:rPr>
      </w:pPr>
    </w:p>
    <w:p w14:paraId="56A4018A" w14:textId="77777777" w:rsidR="00394A5F" w:rsidRPr="00632288" w:rsidRDefault="00394A5F" w:rsidP="00394A5F">
      <w:pPr>
        <w:ind w:left="993"/>
        <w:jc w:val="both"/>
        <w:rPr>
          <w:rFonts w:ascii="Avenir Book" w:hAnsi="Avenir Book"/>
          <w:sz w:val="28"/>
          <w:szCs w:val="28"/>
        </w:rPr>
      </w:pPr>
    </w:p>
    <w:p w14:paraId="6CDBF348" w14:textId="10B5FE77" w:rsidR="00394A5F" w:rsidRPr="00632288" w:rsidRDefault="00D37588" w:rsidP="00394A5F">
      <w:pPr>
        <w:pStyle w:val="ListParagraph"/>
        <w:numPr>
          <w:ilvl w:val="0"/>
          <w:numId w:val="33"/>
        </w:numPr>
        <w:spacing w:after="160" w:line="259" w:lineRule="auto"/>
        <w:ind w:left="993"/>
        <w:jc w:val="both"/>
        <w:rPr>
          <w:rFonts w:ascii="Avenir Book" w:hAnsi="Avenir Book"/>
          <w:b/>
          <w:sz w:val="28"/>
          <w:szCs w:val="28"/>
        </w:rPr>
      </w:pPr>
      <w:r>
        <w:rPr>
          <w:rFonts w:ascii="Avenir Book" w:hAnsi="Avenir Book"/>
          <w:b/>
          <w:sz w:val="28"/>
          <w:szCs w:val="28"/>
        </w:rPr>
        <w:t xml:space="preserve"> </w:t>
      </w:r>
      <w:r w:rsidR="00394A5F" w:rsidRPr="00632288">
        <w:rPr>
          <w:rFonts w:ascii="Avenir Book" w:hAnsi="Avenir Book"/>
          <w:b/>
          <w:sz w:val="28"/>
          <w:szCs w:val="28"/>
        </w:rPr>
        <w:t>Information about work</w:t>
      </w:r>
    </w:p>
    <w:p w14:paraId="4D10FD6D" w14:textId="50632850"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 xml:space="preserve">At present only employees qualify for </w:t>
      </w:r>
      <w:r w:rsidR="00BC7EFC" w:rsidRPr="00632288">
        <w:rPr>
          <w:rFonts w:ascii="Avenir Book" w:hAnsi="Avenir Book"/>
          <w:sz w:val="28"/>
          <w:szCs w:val="28"/>
        </w:rPr>
        <w:t>an</w:t>
      </w:r>
      <w:r w:rsidRPr="00632288">
        <w:rPr>
          <w:rFonts w:ascii="Avenir Book" w:hAnsi="Avenir Book"/>
          <w:sz w:val="28"/>
          <w:szCs w:val="28"/>
        </w:rPr>
        <w:t xml:space="preserve"> S 1 </w:t>
      </w:r>
      <w:r w:rsidR="00BC7EFC" w:rsidRPr="00632288">
        <w:rPr>
          <w:rFonts w:ascii="Avenir Book" w:hAnsi="Avenir Book"/>
          <w:sz w:val="28"/>
          <w:szCs w:val="28"/>
        </w:rPr>
        <w:t>statement, which</w:t>
      </w:r>
      <w:r w:rsidRPr="00632288">
        <w:rPr>
          <w:rFonts w:ascii="Avenir Book" w:hAnsi="Avenir Book"/>
          <w:sz w:val="28"/>
          <w:szCs w:val="28"/>
        </w:rPr>
        <w:t xml:space="preserve"> has to be provided within one </w:t>
      </w:r>
      <w:r w:rsidR="00BC7EFC" w:rsidRPr="00632288">
        <w:rPr>
          <w:rFonts w:ascii="Avenir Book" w:hAnsi="Avenir Book"/>
          <w:sz w:val="28"/>
          <w:szCs w:val="28"/>
        </w:rPr>
        <w:t>month. The</w:t>
      </w:r>
      <w:r w:rsidRPr="00632288">
        <w:rPr>
          <w:rFonts w:ascii="Avenir Book" w:hAnsi="Avenir Book"/>
          <w:sz w:val="28"/>
          <w:szCs w:val="28"/>
        </w:rPr>
        <w:t xml:space="preserve"> right should be extended to ‘workers’ ,and temps should be given better information. Workers also will qualify for pay slips. The reference period for holiday pay to be increased to 52 weeks but a proposal to permit rolled up holiday pay rejected for obvious reasons! HMRC to have increased responsibility for enforcing holiday pay and possibly a reformed sick pay scheme which should be available to all. Agency temps to be provided with a ‘Key Facts Page’ before each assignment(And abolition of the Swedish Derogation)</w:t>
      </w:r>
    </w:p>
    <w:p w14:paraId="1FD72A92"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 xml:space="preserve">Implications? </w:t>
      </w:r>
    </w:p>
    <w:p w14:paraId="1C88F311"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Clearly, this will apply to any short -term work and so-called ‘gig’ workers. But ‘consultants’, freelancers and others who are often high skill/high pay ‘workers’ will be covered.</w:t>
      </w:r>
    </w:p>
    <w:p w14:paraId="02EC06DC" w14:textId="404BDC38" w:rsidR="00394A5F" w:rsidRPr="00632288" w:rsidRDefault="00394A5F" w:rsidP="00E535BD">
      <w:pPr>
        <w:ind w:left="993"/>
        <w:jc w:val="both"/>
        <w:rPr>
          <w:rFonts w:ascii="Avenir Book" w:hAnsi="Avenir Book"/>
          <w:b/>
          <w:sz w:val="28"/>
          <w:szCs w:val="28"/>
        </w:rPr>
      </w:pPr>
      <w:r w:rsidRPr="00632288">
        <w:rPr>
          <w:rFonts w:ascii="Avenir Book" w:hAnsi="Avenir Book"/>
          <w:b/>
          <w:sz w:val="28"/>
          <w:szCs w:val="28"/>
        </w:rPr>
        <w:t xml:space="preserve">      </w:t>
      </w:r>
    </w:p>
    <w:p w14:paraId="33CFE96F" w14:textId="1E04CF10" w:rsidR="00394A5F" w:rsidRPr="00632288" w:rsidRDefault="00D37588" w:rsidP="00D37588">
      <w:pPr>
        <w:jc w:val="both"/>
        <w:rPr>
          <w:rFonts w:ascii="Avenir Book" w:hAnsi="Avenir Book"/>
          <w:b/>
          <w:sz w:val="28"/>
          <w:szCs w:val="28"/>
        </w:rPr>
      </w:pPr>
      <w:r>
        <w:rPr>
          <w:rFonts w:ascii="Avenir Book" w:hAnsi="Avenir Book"/>
          <w:b/>
          <w:sz w:val="28"/>
          <w:szCs w:val="28"/>
        </w:rPr>
        <w:t xml:space="preserve">      </w:t>
      </w:r>
      <w:r w:rsidR="00394A5F" w:rsidRPr="00632288">
        <w:rPr>
          <w:rFonts w:ascii="Avenir Book" w:hAnsi="Avenir Book"/>
          <w:b/>
          <w:sz w:val="28"/>
          <w:szCs w:val="28"/>
        </w:rPr>
        <w:t>(c)</w:t>
      </w:r>
      <w:r>
        <w:rPr>
          <w:rFonts w:ascii="Avenir Book" w:hAnsi="Avenir Book"/>
          <w:b/>
          <w:sz w:val="28"/>
          <w:szCs w:val="28"/>
        </w:rPr>
        <w:t xml:space="preserve"> </w:t>
      </w:r>
      <w:r w:rsidR="00394A5F" w:rsidRPr="00632288">
        <w:rPr>
          <w:rFonts w:ascii="Avenir Book" w:hAnsi="Avenir Book"/>
          <w:b/>
          <w:sz w:val="28"/>
          <w:szCs w:val="28"/>
        </w:rPr>
        <w:t>NMW</w:t>
      </w:r>
    </w:p>
    <w:p w14:paraId="4A3B140E"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They call for ‘further discussion’ on a higher NMW where non- contracted hours are worked-though I found this a bit unclear .(No plans yet for increasing s/e NIC.)</w:t>
      </w:r>
    </w:p>
    <w:p w14:paraId="577D2790" w14:textId="77777777" w:rsidR="00394A5F" w:rsidRPr="00632288" w:rsidRDefault="00394A5F" w:rsidP="00394A5F">
      <w:pPr>
        <w:ind w:left="993"/>
        <w:jc w:val="both"/>
        <w:rPr>
          <w:rFonts w:ascii="Avenir Book" w:hAnsi="Avenir Book"/>
          <w:sz w:val="28"/>
          <w:szCs w:val="28"/>
        </w:rPr>
      </w:pPr>
    </w:p>
    <w:p w14:paraId="7763AE47" w14:textId="77777777" w:rsidR="00394A5F" w:rsidRPr="00632288" w:rsidRDefault="00394A5F" w:rsidP="00394A5F">
      <w:pPr>
        <w:ind w:left="993"/>
        <w:jc w:val="both"/>
        <w:rPr>
          <w:rFonts w:ascii="Avenir Book" w:hAnsi="Avenir Book"/>
          <w:sz w:val="28"/>
          <w:szCs w:val="28"/>
        </w:rPr>
      </w:pPr>
    </w:p>
    <w:p w14:paraId="4621DA5F" w14:textId="39884BB1" w:rsidR="00394A5F" w:rsidRPr="00632288" w:rsidRDefault="00D37588" w:rsidP="00D37588">
      <w:pPr>
        <w:jc w:val="both"/>
        <w:rPr>
          <w:rFonts w:ascii="Avenir Book" w:hAnsi="Avenir Book"/>
          <w:b/>
          <w:sz w:val="28"/>
          <w:szCs w:val="28"/>
        </w:rPr>
      </w:pPr>
      <w:r>
        <w:rPr>
          <w:rFonts w:ascii="Avenir Book" w:hAnsi="Avenir Book"/>
          <w:b/>
          <w:sz w:val="28"/>
          <w:szCs w:val="28"/>
        </w:rPr>
        <w:t xml:space="preserve">     </w:t>
      </w:r>
      <w:r w:rsidR="00394A5F" w:rsidRPr="00632288">
        <w:rPr>
          <w:rFonts w:ascii="Avenir Book" w:hAnsi="Avenir Book"/>
          <w:b/>
          <w:sz w:val="28"/>
          <w:szCs w:val="28"/>
        </w:rPr>
        <w:t>(d)</w:t>
      </w:r>
      <w:r>
        <w:rPr>
          <w:rFonts w:ascii="Avenir Book" w:hAnsi="Avenir Book"/>
          <w:b/>
          <w:sz w:val="28"/>
          <w:szCs w:val="28"/>
        </w:rPr>
        <w:t xml:space="preserve"> </w:t>
      </w:r>
      <w:r w:rsidR="00394A5F" w:rsidRPr="00632288">
        <w:rPr>
          <w:rFonts w:ascii="Avenir Book" w:hAnsi="Avenir Book"/>
          <w:b/>
          <w:sz w:val="28"/>
          <w:szCs w:val="28"/>
        </w:rPr>
        <w:t>Extension of ‘rights to request’</w:t>
      </w:r>
    </w:p>
    <w:p w14:paraId="632342EB" w14:textId="3CCC8597" w:rsidR="00394A5F" w:rsidRPr="00632288" w:rsidRDefault="00394A5F" w:rsidP="00D37588">
      <w:pPr>
        <w:ind w:left="993"/>
        <w:jc w:val="both"/>
        <w:rPr>
          <w:rFonts w:ascii="Avenir Book" w:hAnsi="Avenir Book"/>
          <w:sz w:val="28"/>
          <w:szCs w:val="28"/>
        </w:rPr>
      </w:pPr>
      <w:r w:rsidRPr="00632288">
        <w:rPr>
          <w:rFonts w:ascii="Avenir Book" w:hAnsi="Avenir Book"/>
          <w:sz w:val="28"/>
          <w:szCs w:val="28"/>
        </w:rPr>
        <w:t xml:space="preserve">A taskforce will explore extending the right to request flexible working to a Day 1 right, </w:t>
      </w:r>
      <w:r w:rsidR="00BC7EFC" w:rsidRPr="00632288">
        <w:rPr>
          <w:rFonts w:ascii="Avenir Book" w:hAnsi="Avenir Book"/>
          <w:sz w:val="28"/>
          <w:szCs w:val="28"/>
        </w:rPr>
        <w:t>i.e.</w:t>
      </w:r>
      <w:r w:rsidRPr="00632288">
        <w:rPr>
          <w:rFonts w:ascii="Avenir Book" w:hAnsi="Avenir Book"/>
          <w:sz w:val="28"/>
          <w:szCs w:val="28"/>
        </w:rPr>
        <w:t xml:space="preserve"> no qualifying period.(And during recruitment?) Zero-hours workers to be able to request stable hours, and temps to be able request permanent contract with clients after an assignment of 12 </w:t>
      </w:r>
      <w:r w:rsidR="00BC7EFC" w:rsidRPr="00632288">
        <w:rPr>
          <w:rFonts w:ascii="Avenir Book" w:hAnsi="Avenir Book"/>
          <w:sz w:val="28"/>
          <w:szCs w:val="28"/>
        </w:rPr>
        <w:t>months. Well</w:t>
      </w:r>
      <w:r w:rsidRPr="00632288">
        <w:rPr>
          <w:rFonts w:ascii="Avenir Book" w:hAnsi="Avenir Book"/>
          <w:sz w:val="28"/>
          <w:szCs w:val="28"/>
        </w:rPr>
        <w:t>?</w:t>
      </w:r>
    </w:p>
    <w:p w14:paraId="5ACB2116" w14:textId="482BDE17" w:rsidR="00394A5F" w:rsidRPr="00632288" w:rsidRDefault="00D37588" w:rsidP="00D37588">
      <w:pPr>
        <w:jc w:val="both"/>
        <w:rPr>
          <w:rFonts w:ascii="Avenir Book" w:hAnsi="Avenir Book"/>
          <w:b/>
          <w:sz w:val="28"/>
          <w:szCs w:val="28"/>
        </w:rPr>
      </w:pPr>
      <w:r>
        <w:rPr>
          <w:rFonts w:ascii="Avenir Book" w:hAnsi="Avenir Book"/>
          <w:sz w:val="28"/>
          <w:szCs w:val="28"/>
        </w:rPr>
        <w:lastRenderedPageBreak/>
        <w:t xml:space="preserve">   </w:t>
      </w:r>
      <w:r w:rsidR="00394A5F" w:rsidRPr="00632288">
        <w:rPr>
          <w:rFonts w:ascii="Avenir Book" w:hAnsi="Avenir Book"/>
          <w:sz w:val="28"/>
          <w:szCs w:val="28"/>
        </w:rPr>
        <w:t xml:space="preserve"> </w:t>
      </w:r>
      <w:r w:rsidR="00394A5F" w:rsidRPr="00632288">
        <w:rPr>
          <w:rFonts w:ascii="Avenir Book" w:hAnsi="Avenir Book"/>
          <w:b/>
          <w:sz w:val="28"/>
          <w:szCs w:val="28"/>
        </w:rPr>
        <w:t>(e) Enforcement of law</w:t>
      </w:r>
    </w:p>
    <w:p w14:paraId="3DC14287" w14:textId="1553B71D"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 xml:space="preserve">This may well be the most important area of change, not least because there are so  many ideas dealing with different issues. Sometimes it is the question of who and with what powers, will enforce, </w:t>
      </w:r>
      <w:r w:rsidR="00BC7EFC" w:rsidRPr="00632288">
        <w:rPr>
          <w:rFonts w:ascii="Avenir Book" w:hAnsi="Avenir Book"/>
          <w:sz w:val="28"/>
          <w:szCs w:val="28"/>
        </w:rPr>
        <w:t>e.g.</w:t>
      </w:r>
      <w:r w:rsidRPr="00632288">
        <w:rPr>
          <w:rFonts w:ascii="Avenir Book" w:hAnsi="Avenir Book"/>
          <w:sz w:val="28"/>
          <w:szCs w:val="28"/>
        </w:rPr>
        <w:t xml:space="preserve"> over NMW, sick pay and, interestingly, the EAS to cover all forms of ‘intermediation’ (Uber?</w:t>
      </w:r>
      <w:r w:rsidR="00BC7EFC">
        <w:rPr>
          <w:rFonts w:ascii="Avenir Book" w:hAnsi="Avenir Book"/>
          <w:sz w:val="28"/>
          <w:szCs w:val="28"/>
        </w:rPr>
        <w:t xml:space="preserve"> </w:t>
      </w:r>
      <w:r w:rsidRPr="00632288">
        <w:rPr>
          <w:rFonts w:ascii="Avenir Book" w:hAnsi="Avenir Book"/>
          <w:sz w:val="28"/>
          <w:szCs w:val="28"/>
        </w:rPr>
        <w:t>Upwork? AirBNB?)</w:t>
      </w:r>
    </w:p>
    <w:p w14:paraId="3A220059"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An important change is that in ETs, the burden of proof in ‘qualification’ issues (Including presumably, status) will fall to the respondent to refute the ability to claim. This is a very significant development and one to be carefully prepared for.</w:t>
      </w:r>
    </w:p>
    <w:p w14:paraId="45741EDD" w14:textId="77777777" w:rsidR="00394A5F" w:rsidRPr="00632288" w:rsidRDefault="00394A5F" w:rsidP="00394A5F">
      <w:pPr>
        <w:ind w:left="993"/>
        <w:jc w:val="both"/>
        <w:rPr>
          <w:rFonts w:ascii="Avenir Book" w:hAnsi="Avenir Book"/>
          <w:sz w:val="28"/>
          <w:szCs w:val="28"/>
        </w:rPr>
      </w:pPr>
    </w:p>
    <w:p w14:paraId="70E94EAD" w14:textId="24D9B102" w:rsidR="00394A5F" w:rsidRPr="00632288" w:rsidRDefault="00394A5F" w:rsidP="00BC7EFC">
      <w:pPr>
        <w:ind w:left="993"/>
        <w:jc w:val="both"/>
        <w:rPr>
          <w:rFonts w:ascii="Avenir Book" w:hAnsi="Avenir Book"/>
          <w:sz w:val="28"/>
          <w:szCs w:val="28"/>
        </w:rPr>
      </w:pPr>
      <w:r w:rsidRPr="00632288">
        <w:rPr>
          <w:rFonts w:ascii="Avenir Book" w:hAnsi="Avenir Book"/>
          <w:sz w:val="28"/>
          <w:szCs w:val="28"/>
        </w:rPr>
        <w:t>Successful claims for compensation for successful claims are going to be easier to enforce-though little detail. There will be higher penalties for ‘aggravated’ breaches and ETs will be required to assess in all cases whether this is the case; the possibility of uplifts in compensation for similar/same offences by other workers against the same employer. There little on extending ‘naming and shaming’, though corporate bodies will be required to provide information on their workforce structure, including the use of temps.</w:t>
      </w:r>
    </w:p>
    <w:p w14:paraId="417C2D9F" w14:textId="0DCA1AEA"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 xml:space="preserve">The document also covers a great deal regarding training and development-mostly aspirational, and also much improved support for the self-employed-mostly administrative measures. There is no response on the question of a right to return to the same job after lengthy sickness </w:t>
      </w:r>
      <w:r w:rsidR="00BC7EFC" w:rsidRPr="00632288">
        <w:rPr>
          <w:rFonts w:ascii="Avenir Book" w:hAnsi="Avenir Book"/>
          <w:sz w:val="28"/>
          <w:szCs w:val="28"/>
        </w:rPr>
        <w:t>absence</w:t>
      </w:r>
      <w:r w:rsidRPr="00632288">
        <w:rPr>
          <w:rFonts w:ascii="Avenir Book" w:hAnsi="Avenir Book"/>
          <w:sz w:val="28"/>
          <w:szCs w:val="28"/>
        </w:rPr>
        <w:t>.</w:t>
      </w:r>
    </w:p>
    <w:p w14:paraId="53EF0075"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So-what next?</w:t>
      </w:r>
    </w:p>
    <w:p w14:paraId="12F15E3A"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Many of the changes would be simple to achieve and quick. Is there anything there that worries you? Me for me-I still find the idea of a transparent and principled test for employment status a pipe dream-but, there we are!</w:t>
      </w:r>
    </w:p>
    <w:p w14:paraId="51FDB899" w14:textId="77777777" w:rsidR="00F56297" w:rsidRDefault="00F56297" w:rsidP="00BC7EFC">
      <w:pPr>
        <w:jc w:val="both"/>
        <w:rPr>
          <w:rFonts w:ascii="Avenir Book" w:hAnsi="Avenir Book"/>
          <w:sz w:val="28"/>
          <w:szCs w:val="28"/>
        </w:rPr>
      </w:pPr>
    </w:p>
    <w:p w14:paraId="7FF03D62" w14:textId="4F57AE9D" w:rsidR="00F0540E" w:rsidRDefault="00344B6E" w:rsidP="00394A5F">
      <w:pPr>
        <w:pStyle w:val="ListParagraph"/>
        <w:numPr>
          <w:ilvl w:val="0"/>
          <w:numId w:val="28"/>
        </w:numPr>
        <w:ind w:left="993"/>
        <w:jc w:val="both"/>
        <w:rPr>
          <w:rFonts w:ascii="Avenir Roman" w:hAnsi="Avenir Roman"/>
          <w:b/>
          <w:sz w:val="36"/>
          <w:szCs w:val="36"/>
          <w:lang w:val="en-GB"/>
        </w:rPr>
      </w:pPr>
      <w:r w:rsidRPr="00F56297">
        <w:rPr>
          <w:rFonts w:ascii="Avenir Roman" w:hAnsi="Avenir Roman"/>
          <w:b/>
          <w:sz w:val="36"/>
          <w:szCs w:val="36"/>
          <w:lang w:val="en-GB"/>
        </w:rPr>
        <w:t>Case Law</w:t>
      </w:r>
      <w:r w:rsidR="00A44694" w:rsidRPr="00F56297">
        <w:rPr>
          <w:rFonts w:ascii="Avenir Roman" w:hAnsi="Avenir Roman"/>
          <w:b/>
          <w:sz w:val="36"/>
          <w:szCs w:val="36"/>
          <w:lang w:val="en-GB"/>
        </w:rPr>
        <w:t xml:space="preserve"> From The UK</w:t>
      </w:r>
    </w:p>
    <w:p w14:paraId="0068BB40" w14:textId="4ECA3A94" w:rsidR="00394A5F" w:rsidRPr="00394A5F" w:rsidRDefault="00394A5F" w:rsidP="00394A5F">
      <w:pPr>
        <w:ind w:left="993"/>
        <w:jc w:val="both"/>
        <w:rPr>
          <w:rFonts w:ascii="Avenir Book" w:hAnsi="Avenir Book"/>
          <w:sz w:val="28"/>
          <w:szCs w:val="28"/>
        </w:rPr>
      </w:pPr>
      <w:r w:rsidRPr="00394A5F">
        <w:rPr>
          <w:rFonts w:ascii="Avenir Book" w:hAnsi="Avenir Book"/>
          <w:sz w:val="28"/>
          <w:szCs w:val="28"/>
        </w:rPr>
        <w:t>Not a massive amount but some cases of interest.</w:t>
      </w:r>
    </w:p>
    <w:p w14:paraId="7F7048E7" w14:textId="77777777" w:rsidR="00EE43B1" w:rsidRPr="00EE43B1" w:rsidRDefault="00EE43B1" w:rsidP="00394A5F">
      <w:pPr>
        <w:ind w:left="993" w:firstLine="720"/>
        <w:jc w:val="both"/>
        <w:rPr>
          <w:rFonts w:ascii="Avenir Book" w:hAnsi="Avenir Book"/>
          <w:sz w:val="32"/>
          <w:szCs w:val="32"/>
        </w:rPr>
      </w:pPr>
      <w:r w:rsidRPr="00EE43B1">
        <w:rPr>
          <w:rFonts w:ascii="Avenir Book" w:hAnsi="Avenir Book"/>
          <w:sz w:val="32"/>
          <w:szCs w:val="32"/>
        </w:rPr>
        <w:t>3.1 Contracts and related matters</w:t>
      </w:r>
    </w:p>
    <w:p w14:paraId="3F36103D"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Perhaps it was inevitable that our first case is on ‘employment status’ and it is the CA decision in Uber. This is the appeal from the first taxi cases-and the decision is now from the CA. Though they lost again, Uber has said it will appeal to the SC(The SC can itself decide whether to hear it). It was decided on 19</w:t>
      </w:r>
      <w:r w:rsidRPr="00632288">
        <w:rPr>
          <w:rFonts w:ascii="Avenir Book" w:hAnsi="Avenir Book"/>
          <w:sz w:val="28"/>
          <w:szCs w:val="28"/>
          <w:vertAlign w:val="superscript"/>
        </w:rPr>
        <w:t>th</w:t>
      </w:r>
      <w:r w:rsidRPr="00632288">
        <w:rPr>
          <w:rFonts w:ascii="Avenir Book" w:hAnsi="Avenir Book"/>
          <w:sz w:val="28"/>
          <w:szCs w:val="28"/>
        </w:rPr>
        <w:t xml:space="preserve"> December 2018</w:t>
      </w:r>
    </w:p>
    <w:p w14:paraId="1819D126" w14:textId="77777777" w:rsidR="00394A5F" w:rsidRPr="00BC7EFC" w:rsidRDefault="00394A5F" w:rsidP="00BC7EFC">
      <w:pPr>
        <w:ind w:left="273" w:firstLine="720"/>
        <w:jc w:val="both"/>
        <w:rPr>
          <w:rFonts w:ascii="Avenir Roman" w:hAnsi="Avenir Roman"/>
          <w:b/>
          <w:sz w:val="28"/>
          <w:szCs w:val="28"/>
        </w:rPr>
      </w:pPr>
      <w:proofErr w:type="gramStart"/>
      <w:r w:rsidRPr="00BC7EFC">
        <w:rPr>
          <w:rFonts w:ascii="Avenir Roman" w:hAnsi="Avenir Roman"/>
          <w:b/>
          <w:sz w:val="28"/>
          <w:szCs w:val="28"/>
        </w:rPr>
        <w:t>Uber v. Aslam and Farrar (2018) EWCA Civ 2748.</w:t>
      </w:r>
      <w:proofErr w:type="gramEnd"/>
    </w:p>
    <w:p w14:paraId="3179623E" w14:textId="7C70A6A9"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 xml:space="preserve">The cases attracted a ‘stellar’ list of Barristers. The first argument put forward by Uber was easily rejected. This was that as Uber is registered in Netherlands the NMW </w:t>
      </w:r>
      <w:r w:rsidR="00BC7EFC" w:rsidRPr="00632288">
        <w:rPr>
          <w:rFonts w:ascii="Avenir Book" w:hAnsi="Avenir Book"/>
          <w:sz w:val="28"/>
          <w:szCs w:val="28"/>
        </w:rPr>
        <w:t>etc.</w:t>
      </w:r>
      <w:r w:rsidRPr="00632288">
        <w:rPr>
          <w:rFonts w:ascii="Avenir Book" w:hAnsi="Avenir Book"/>
          <w:sz w:val="28"/>
          <w:szCs w:val="28"/>
        </w:rPr>
        <w:t xml:space="preserve"> did not apply to it!. The language of the case is important- drivers are called ‘partners’ and passengers ‘riders’. They continue to argue they are not a transport company and that the contracts(Revised in 2015 without discussion) purport to protect UBER from any liabilities and that the ‘riders’ have to indemnify for loss. In the EAT, the argument that the contract meant that there was no relationship between Uber and drivers was overridden by the courts by applying </w:t>
      </w:r>
      <w:r w:rsidRPr="00632288">
        <w:rPr>
          <w:rFonts w:ascii="Avenir Book" w:hAnsi="Avenir Book"/>
          <w:sz w:val="28"/>
          <w:szCs w:val="28"/>
          <w:u w:val="single"/>
        </w:rPr>
        <w:t xml:space="preserve">Autoclenz v. Belcher, </w:t>
      </w:r>
      <w:r w:rsidR="00BC7EFC" w:rsidRPr="00632288">
        <w:rPr>
          <w:rFonts w:ascii="Avenir Book" w:hAnsi="Avenir Book"/>
          <w:sz w:val="28"/>
          <w:szCs w:val="28"/>
        </w:rPr>
        <w:t>i.e.</w:t>
      </w:r>
      <w:r w:rsidRPr="00632288">
        <w:rPr>
          <w:rFonts w:ascii="Avenir Book" w:hAnsi="Avenir Book"/>
          <w:sz w:val="28"/>
          <w:szCs w:val="28"/>
        </w:rPr>
        <w:t xml:space="preserve"> that the employment realities were that there was a relationship.</w:t>
      </w:r>
    </w:p>
    <w:p w14:paraId="18BAAA49"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The CA confirmed that many of Uber’s arguments were, as found by the ET ‘absurd’, including such arguments that the contract for payment was between the passenger and driver.</w:t>
      </w:r>
    </w:p>
    <w:p w14:paraId="4C236A1E"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The case confirmed worker status and that working time is to be measured from when app. switched on, not just when driving.</w:t>
      </w:r>
    </w:p>
    <w:p w14:paraId="57121161" w14:textId="77777777" w:rsidR="00BC7EFC" w:rsidRDefault="00394A5F" w:rsidP="00BC7EFC">
      <w:pPr>
        <w:ind w:left="993"/>
        <w:jc w:val="both"/>
        <w:rPr>
          <w:rFonts w:ascii="Avenir Book" w:hAnsi="Avenir Book"/>
          <w:sz w:val="28"/>
          <w:szCs w:val="28"/>
        </w:rPr>
      </w:pPr>
      <w:r w:rsidRPr="00632288">
        <w:rPr>
          <w:rFonts w:ascii="Avenir Book" w:hAnsi="Avenir Book"/>
          <w:sz w:val="28"/>
          <w:szCs w:val="28"/>
        </w:rPr>
        <w:lastRenderedPageBreak/>
        <w:t>The message of the case (Which was in theory Uber’s best chance of support) was that courts are all saying, first, don’t mess us about and use crazy arguments, and, second, the employment realities test is the key. It is likely that the test for worker status in the future will focus on ‘control’ more, as was the case in Addison Lee ,which we considered last year. It seems that ‘mutuality of obligation’ is much less important.</w:t>
      </w:r>
    </w:p>
    <w:p w14:paraId="55F40094" w14:textId="77777777" w:rsidR="00D37588" w:rsidRDefault="00D37588" w:rsidP="00BC7EFC">
      <w:pPr>
        <w:ind w:left="993"/>
        <w:jc w:val="both"/>
        <w:rPr>
          <w:rFonts w:ascii="Avenir Book" w:hAnsi="Avenir Book"/>
          <w:sz w:val="28"/>
          <w:szCs w:val="28"/>
        </w:rPr>
      </w:pPr>
    </w:p>
    <w:p w14:paraId="795305EE" w14:textId="6B3195C5" w:rsidR="00394A5F" w:rsidRPr="00BC7EFC" w:rsidRDefault="00394A5F" w:rsidP="00BC7EFC">
      <w:pPr>
        <w:ind w:left="993" w:firstLine="447"/>
        <w:jc w:val="both"/>
        <w:rPr>
          <w:rFonts w:ascii="Avenir Book" w:hAnsi="Avenir Book"/>
          <w:sz w:val="24"/>
          <w:szCs w:val="28"/>
        </w:rPr>
      </w:pPr>
      <w:r w:rsidRPr="00BC7EFC">
        <w:rPr>
          <w:rFonts w:ascii="Avenir Book" w:hAnsi="Avenir Book"/>
          <w:sz w:val="32"/>
          <w:szCs w:val="36"/>
        </w:rPr>
        <w:t>3</w:t>
      </w:r>
      <w:r w:rsidR="00BC7EFC" w:rsidRPr="00BC7EFC">
        <w:rPr>
          <w:rFonts w:ascii="Avenir Book" w:hAnsi="Avenir Book"/>
          <w:sz w:val="32"/>
          <w:szCs w:val="36"/>
        </w:rPr>
        <w:t>.2</w:t>
      </w:r>
      <w:r w:rsidRPr="00BC7EFC">
        <w:rPr>
          <w:rFonts w:ascii="Avenir Book" w:hAnsi="Avenir Book"/>
          <w:sz w:val="32"/>
          <w:szCs w:val="36"/>
        </w:rPr>
        <w:t xml:space="preserve"> Equalities law and related topic</w:t>
      </w:r>
    </w:p>
    <w:p w14:paraId="011776A6"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 xml:space="preserve">This case also covers contractual changes. </w:t>
      </w:r>
    </w:p>
    <w:p w14:paraId="7C2F6317" w14:textId="77777777" w:rsidR="00394A5F" w:rsidRPr="00BC7EFC" w:rsidRDefault="00394A5F" w:rsidP="00394A5F">
      <w:pPr>
        <w:ind w:left="993"/>
        <w:jc w:val="both"/>
        <w:rPr>
          <w:rFonts w:ascii="Avenir Roman" w:hAnsi="Avenir Roman"/>
          <w:b/>
          <w:sz w:val="28"/>
          <w:szCs w:val="28"/>
        </w:rPr>
      </w:pPr>
      <w:r w:rsidRPr="00BC7EFC">
        <w:rPr>
          <w:rFonts w:ascii="Avenir Roman" w:hAnsi="Avenir Roman"/>
          <w:b/>
          <w:sz w:val="28"/>
          <w:szCs w:val="28"/>
        </w:rPr>
        <w:t>The Lord Chancellor v. Mccloud and Others (2018) EWCA Civ 2844</w:t>
      </w:r>
    </w:p>
    <w:p w14:paraId="40F970AD"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Two cases were joined together regarding pensions: Those of judges and those of fire fighters. It is an age discrimination claim, so whatever the allegation, the employer can use the argument of the ‘proportionate response’ to a ‘legitimate aim’.</w:t>
      </w:r>
    </w:p>
    <w:p w14:paraId="3C6483E0" w14:textId="77777777" w:rsidR="00394A5F" w:rsidRDefault="00394A5F" w:rsidP="00394A5F">
      <w:pPr>
        <w:ind w:left="993"/>
        <w:jc w:val="both"/>
        <w:rPr>
          <w:rFonts w:ascii="Avenir Book" w:hAnsi="Avenir Book"/>
          <w:sz w:val="28"/>
          <w:szCs w:val="28"/>
        </w:rPr>
      </w:pPr>
      <w:r w:rsidRPr="00632288">
        <w:rPr>
          <w:rFonts w:ascii="Avenir Book" w:hAnsi="Avenir Book"/>
          <w:sz w:val="28"/>
          <w:szCs w:val="28"/>
        </w:rPr>
        <w:t>The cases involved transitional provisions in major changes to pensions. In effect the pensions were becoming less generous. For example, until recently, they were contribution free and more generous as regards survivor’s benefits. However, the major issue was that the scheme favoured those nearest to retirement age, on the basis that they would be less able to deal with any payment reductions. And had expected to receive the sums in question and planned for it. However, the evidence was that there were far more women in younger age groups, so a sex discrimination claim was implicitly added. The CA decided that the scheme was discriminatory and that the respondents had failed to make out a convincing justification.</w:t>
      </w:r>
    </w:p>
    <w:p w14:paraId="0CC72102" w14:textId="77777777" w:rsidR="00D37588" w:rsidRDefault="00D37588" w:rsidP="00394A5F">
      <w:pPr>
        <w:ind w:left="993"/>
        <w:jc w:val="both"/>
        <w:rPr>
          <w:rFonts w:ascii="Avenir Book" w:hAnsi="Avenir Book"/>
          <w:sz w:val="28"/>
          <w:szCs w:val="28"/>
        </w:rPr>
      </w:pPr>
    </w:p>
    <w:p w14:paraId="4E4A0B23" w14:textId="77777777" w:rsidR="00D37588" w:rsidRPr="00632288" w:rsidRDefault="00D37588" w:rsidP="00394A5F">
      <w:pPr>
        <w:ind w:left="993"/>
        <w:jc w:val="both"/>
        <w:rPr>
          <w:rFonts w:ascii="Avenir Book" w:hAnsi="Avenir Book"/>
          <w:sz w:val="28"/>
          <w:szCs w:val="28"/>
        </w:rPr>
      </w:pPr>
    </w:p>
    <w:p w14:paraId="7723F8D8" w14:textId="77777777" w:rsidR="00394A5F" w:rsidRPr="00BC7EFC" w:rsidRDefault="00394A5F" w:rsidP="00394A5F">
      <w:pPr>
        <w:ind w:left="993"/>
        <w:jc w:val="both"/>
        <w:rPr>
          <w:rFonts w:ascii="Avenir Roman" w:hAnsi="Avenir Roman"/>
          <w:b/>
          <w:sz w:val="28"/>
          <w:szCs w:val="28"/>
        </w:rPr>
      </w:pPr>
      <w:proofErr w:type="gramStart"/>
      <w:r w:rsidRPr="00BC7EFC">
        <w:rPr>
          <w:rFonts w:ascii="Avenir Roman" w:hAnsi="Avenir Roman"/>
          <w:b/>
          <w:sz w:val="28"/>
          <w:szCs w:val="28"/>
        </w:rPr>
        <w:lastRenderedPageBreak/>
        <w:t>Williams</w:t>
      </w:r>
      <w:proofErr w:type="gramEnd"/>
      <w:r w:rsidRPr="00BC7EFC">
        <w:rPr>
          <w:rFonts w:ascii="Avenir Roman" w:hAnsi="Avenir Roman"/>
          <w:b/>
          <w:sz w:val="28"/>
          <w:szCs w:val="28"/>
        </w:rPr>
        <w:t xml:space="preserve"> v Trustees of Swansea University Pension Scheme (2018) UK SC 65</w:t>
      </w:r>
    </w:p>
    <w:p w14:paraId="3A0E79D2" w14:textId="4D22E86B"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This case involves a disability claim. It is, again, an important decision. Williams suffers from Tourettes Syndrome. He had been employed from 2000 to 2013 when he retired in health grounds aged 38.</w:t>
      </w:r>
      <w:r w:rsidR="00BC7EFC">
        <w:rPr>
          <w:rFonts w:ascii="Avenir Book" w:hAnsi="Avenir Book"/>
          <w:sz w:val="28"/>
          <w:szCs w:val="28"/>
        </w:rPr>
        <w:t xml:space="preserve"> He had originally worked full t</w:t>
      </w:r>
      <w:r w:rsidR="00BC7EFC" w:rsidRPr="00632288">
        <w:rPr>
          <w:rFonts w:ascii="Avenir Book" w:hAnsi="Avenir Book"/>
          <w:sz w:val="28"/>
          <w:szCs w:val="28"/>
        </w:rPr>
        <w:t>ime, then</w:t>
      </w:r>
      <w:r w:rsidRPr="00632288">
        <w:rPr>
          <w:rFonts w:ascii="Avenir Book" w:hAnsi="Avenir Book"/>
          <w:sz w:val="28"/>
          <w:szCs w:val="28"/>
        </w:rPr>
        <w:t xml:space="preserve"> half time and then his hours were further reduced. In 2012 he took unpaid leave for brain surgery and began a phased return to work in 2013 but then applied for early retirement on health grounds. Medical evidence was that he could not do his job. He received a lump sum and annuity based on his actual earning but also an enhanced payment based on his ‘deemed pensionable service’ to 67’.The payments were based on his full time and then part-time earnings. He argued that basing payments on part time earnings discriminated against him because of his disability.</w:t>
      </w:r>
    </w:p>
    <w:p w14:paraId="586430CC" w14:textId="78AC64B8"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He won in the ET, but lost in EAT and CA.</w:t>
      </w:r>
      <w:r w:rsidR="00BC7EFC">
        <w:rPr>
          <w:rFonts w:ascii="Avenir Book" w:hAnsi="Avenir Book"/>
          <w:sz w:val="28"/>
          <w:szCs w:val="28"/>
        </w:rPr>
        <w:t xml:space="preserve"> </w:t>
      </w:r>
      <w:r w:rsidRPr="00632288">
        <w:rPr>
          <w:rFonts w:ascii="Avenir Book" w:hAnsi="Avenir Book"/>
          <w:sz w:val="28"/>
          <w:szCs w:val="28"/>
        </w:rPr>
        <w:t xml:space="preserve">The SC asked itself just two questions-as they confirmed that there is no need for a comparator, first, what was the relevant treatment and second, was it unfavourable. This means, was it  ‘adverse’ as compared with’ ‘beneficial’. The SC drew a parallel with maternity provisions, </w:t>
      </w:r>
      <w:r w:rsidR="00BC7EFC" w:rsidRPr="00632288">
        <w:rPr>
          <w:rFonts w:ascii="Avenir Book" w:hAnsi="Avenir Book"/>
          <w:sz w:val="28"/>
          <w:szCs w:val="28"/>
        </w:rPr>
        <w:t>i.e.</w:t>
      </w:r>
      <w:r w:rsidRPr="00632288">
        <w:rPr>
          <w:rFonts w:ascii="Avenir Book" w:hAnsi="Avenir Book"/>
          <w:sz w:val="28"/>
          <w:szCs w:val="28"/>
        </w:rPr>
        <w:t xml:space="preserve"> no need for comparator. He argued then that he was only able to work part-time beca</w:t>
      </w:r>
      <w:r w:rsidR="00BC7EFC">
        <w:rPr>
          <w:rFonts w:ascii="Avenir Book" w:hAnsi="Avenir Book"/>
          <w:sz w:val="28"/>
          <w:szCs w:val="28"/>
        </w:rPr>
        <w:t xml:space="preserve">use of his disability. However; </w:t>
      </w:r>
      <w:r w:rsidR="00BC7EFC" w:rsidRPr="00632288">
        <w:rPr>
          <w:rFonts w:ascii="Avenir Book" w:hAnsi="Avenir Book"/>
          <w:sz w:val="28"/>
          <w:szCs w:val="28"/>
        </w:rPr>
        <w:t>the respondent countered this</w:t>
      </w:r>
      <w:r w:rsidR="00BC7EFC">
        <w:rPr>
          <w:rFonts w:ascii="Avenir Book" w:hAnsi="Avenir Book"/>
          <w:sz w:val="28"/>
          <w:szCs w:val="28"/>
        </w:rPr>
        <w:t xml:space="preserve"> saying </w:t>
      </w:r>
      <w:r w:rsidRPr="00632288">
        <w:rPr>
          <w:rFonts w:ascii="Avenir Book" w:hAnsi="Avenir Book"/>
          <w:sz w:val="28"/>
          <w:szCs w:val="28"/>
        </w:rPr>
        <w:t xml:space="preserve">that if he had been able to work full time he would not qualify for his pension </w:t>
      </w:r>
      <w:r w:rsidR="00BC7EFC">
        <w:rPr>
          <w:rFonts w:ascii="Avenir Book" w:hAnsi="Avenir Book"/>
          <w:sz w:val="28"/>
          <w:szCs w:val="28"/>
        </w:rPr>
        <w:t>un</w:t>
      </w:r>
      <w:r w:rsidRPr="00632288">
        <w:rPr>
          <w:rFonts w:ascii="Avenir Book" w:hAnsi="Avenir Book"/>
          <w:sz w:val="28"/>
          <w:szCs w:val="28"/>
        </w:rPr>
        <w:t>til 67. In effect, he got the pension because of his disability.</w:t>
      </w:r>
    </w:p>
    <w:p w14:paraId="16B0F534"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Controversial?   What might be the implications?</w:t>
      </w:r>
    </w:p>
    <w:p w14:paraId="1DBB7F5E" w14:textId="77777777" w:rsidR="00394A5F" w:rsidRPr="00632288" w:rsidRDefault="00394A5F" w:rsidP="00394A5F">
      <w:pPr>
        <w:ind w:left="993"/>
        <w:jc w:val="both"/>
        <w:rPr>
          <w:rFonts w:ascii="Avenir Book" w:hAnsi="Avenir Book"/>
          <w:sz w:val="28"/>
          <w:szCs w:val="28"/>
        </w:rPr>
      </w:pPr>
    </w:p>
    <w:p w14:paraId="3D120AD2" w14:textId="77777777" w:rsidR="00394A5F" w:rsidRPr="00632288" w:rsidRDefault="00394A5F" w:rsidP="00394A5F">
      <w:pPr>
        <w:ind w:left="993"/>
        <w:jc w:val="both"/>
        <w:rPr>
          <w:rFonts w:ascii="Avenir Book" w:hAnsi="Avenir Book"/>
          <w:sz w:val="28"/>
          <w:szCs w:val="28"/>
        </w:rPr>
      </w:pPr>
    </w:p>
    <w:p w14:paraId="7835F3AD" w14:textId="7777777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Now we have a whistleblowing case.  Maybe it is worth reflecting on what is the purpose of this legislation)</w:t>
      </w:r>
    </w:p>
    <w:p w14:paraId="42D12931" w14:textId="77777777" w:rsidR="00E535BD" w:rsidRDefault="00E535BD" w:rsidP="00394A5F">
      <w:pPr>
        <w:ind w:left="993"/>
        <w:jc w:val="both"/>
        <w:rPr>
          <w:rFonts w:ascii="Avenir Roman" w:hAnsi="Avenir Roman"/>
          <w:b/>
          <w:sz w:val="28"/>
          <w:szCs w:val="28"/>
        </w:rPr>
      </w:pPr>
    </w:p>
    <w:p w14:paraId="48D22870" w14:textId="1A2B8ABD" w:rsidR="00394A5F" w:rsidRPr="00BC7EFC" w:rsidRDefault="00394A5F" w:rsidP="00394A5F">
      <w:pPr>
        <w:ind w:left="993"/>
        <w:jc w:val="both"/>
        <w:rPr>
          <w:rFonts w:ascii="Avenir Roman" w:hAnsi="Avenir Roman"/>
          <w:b/>
          <w:sz w:val="28"/>
          <w:szCs w:val="28"/>
        </w:rPr>
      </w:pPr>
      <w:r w:rsidRPr="00BC7EFC">
        <w:rPr>
          <w:rFonts w:ascii="Avenir Roman" w:hAnsi="Avenir Roman"/>
          <w:b/>
          <w:sz w:val="28"/>
          <w:szCs w:val="28"/>
        </w:rPr>
        <w:lastRenderedPageBreak/>
        <w:t xml:space="preserve">Office for Gas and Electricity Markets </w:t>
      </w:r>
      <w:proofErr w:type="gramStart"/>
      <w:r w:rsidRPr="00BC7EFC">
        <w:rPr>
          <w:rFonts w:ascii="Avenir Roman" w:hAnsi="Avenir Roman"/>
          <w:b/>
          <w:sz w:val="28"/>
          <w:szCs w:val="28"/>
        </w:rPr>
        <w:t>Authority(</w:t>
      </w:r>
      <w:proofErr w:type="gramEnd"/>
      <w:r w:rsidRPr="00BC7EFC">
        <w:rPr>
          <w:rFonts w:ascii="Avenir Roman" w:hAnsi="Avenir Roman"/>
          <w:b/>
          <w:sz w:val="28"/>
          <w:szCs w:val="28"/>
        </w:rPr>
        <w:t>GEMA) v. Pytel (2018) UKEAR 0044</w:t>
      </w:r>
    </w:p>
    <w:p w14:paraId="4A4C7564" w14:textId="28FC0688" w:rsidR="00EE43B1" w:rsidRDefault="00394A5F" w:rsidP="00BC7EFC">
      <w:pPr>
        <w:ind w:left="993"/>
        <w:jc w:val="both"/>
        <w:rPr>
          <w:rFonts w:ascii="Avenir Book" w:hAnsi="Avenir Book"/>
          <w:sz w:val="28"/>
          <w:szCs w:val="28"/>
        </w:rPr>
      </w:pPr>
      <w:r w:rsidRPr="00632288">
        <w:rPr>
          <w:rFonts w:ascii="Avenir Book" w:hAnsi="Avenir Book"/>
          <w:sz w:val="28"/>
          <w:szCs w:val="28"/>
        </w:rPr>
        <w:t xml:space="preserve">P is an economic analyst. He alleged that in the introduction </w:t>
      </w:r>
      <w:r w:rsidR="00BC7EFC" w:rsidRPr="00632288">
        <w:rPr>
          <w:rFonts w:ascii="Avenir Book" w:hAnsi="Avenir Book"/>
          <w:sz w:val="28"/>
          <w:szCs w:val="28"/>
        </w:rPr>
        <w:t>OD</w:t>
      </w:r>
      <w:r w:rsidRPr="00632288">
        <w:rPr>
          <w:rFonts w:ascii="Avenir Book" w:hAnsi="Avenir Book"/>
          <w:sz w:val="28"/>
          <w:szCs w:val="28"/>
        </w:rPr>
        <w:t xml:space="preserve"> so-called smart meters there had been some failures in the procurement of the meters. He was seeking further information from GEMA. This was refused. GEMA argued that the Utilities Act 2000 prevented disclosures. What was the ‘intention of </w:t>
      </w:r>
      <w:r w:rsidR="00BC7EFC" w:rsidRPr="00632288">
        <w:rPr>
          <w:rFonts w:ascii="Avenir Book" w:hAnsi="Avenir Book"/>
          <w:sz w:val="28"/>
          <w:szCs w:val="28"/>
        </w:rPr>
        <w:t>Parliament’.? The</w:t>
      </w:r>
      <w:r w:rsidRPr="00632288">
        <w:rPr>
          <w:rFonts w:ascii="Avenir Book" w:hAnsi="Avenir Book"/>
          <w:sz w:val="28"/>
          <w:szCs w:val="28"/>
        </w:rPr>
        <w:t xml:space="preserve"> court could find nothing to make GEMA ‘immune’, so he won. Further, the court stated that the fact that the respondent is aware of the nature of the allegation does not mean </w:t>
      </w:r>
      <w:r w:rsidR="00BC7EFC" w:rsidRPr="00632288">
        <w:rPr>
          <w:rFonts w:ascii="Avenir Book" w:hAnsi="Avenir Book"/>
          <w:sz w:val="28"/>
          <w:szCs w:val="28"/>
        </w:rPr>
        <w:t>law does not cover it</w:t>
      </w:r>
      <w:r w:rsidRPr="00632288">
        <w:rPr>
          <w:rFonts w:ascii="Avenir Book" w:hAnsi="Avenir Book"/>
          <w:sz w:val="28"/>
          <w:szCs w:val="28"/>
        </w:rPr>
        <w:t>. The disclosure does</w:t>
      </w:r>
      <w:r w:rsidR="00BC7EFC">
        <w:rPr>
          <w:rFonts w:ascii="Avenir Book" w:hAnsi="Avenir Book"/>
          <w:sz w:val="28"/>
          <w:szCs w:val="28"/>
        </w:rPr>
        <w:t xml:space="preserve"> not have to be something ‘new’.</w:t>
      </w:r>
    </w:p>
    <w:p w14:paraId="679354DD" w14:textId="77777777" w:rsidR="00BC7EFC" w:rsidRPr="00EE43B1" w:rsidRDefault="00BC7EFC" w:rsidP="00BC7EFC">
      <w:pPr>
        <w:ind w:left="993"/>
        <w:jc w:val="both"/>
        <w:rPr>
          <w:rFonts w:ascii="Avenir Book" w:hAnsi="Avenir Book"/>
          <w:sz w:val="28"/>
          <w:szCs w:val="28"/>
        </w:rPr>
      </w:pPr>
    </w:p>
    <w:p w14:paraId="1F137421" w14:textId="77777777" w:rsidR="00EE43B1" w:rsidRPr="00FE5B25" w:rsidRDefault="00EE43B1" w:rsidP="00394A5F">
      <w:pPr>
        <w:ind w:left="993"/>
        <w:jc w:val="both"/>
        <w:rPr>
          <w:rFonts w:ascii="Avenir Roman" w:hAnsi="Avenir Roman"/>
          <w:b/>
          <w:sz w:val="32"/>
          <w:szCs w:val="32"/>
        </w:rPr>
      </w:pPr>
      <w:r w:rsidRPr="00FE5B25">
        <w:rPr>
          <w:rFonts w:ascii="Avenir Roman" w:hAnsi="Avenir Roman"/>
          <w:b/>
          <w:sz w:val="32"/>
          <w:szCs w:val="32"/>
        </w:rPr>
        <w:t xml:space="preserve">3.3 Termination </w:t>
      </w:r>
    </w:p>
    <w:p w14:paraId="1333194A" w14:textId="77777777" w:rsidR="00394A5F" w:rsidRPr="00BC7EFC" w:rsidRDefault="00394A5F" w:rsidP="00394A5F">
      <w:pPr>
        <w:ind w:left="993"/>
        <w:jc w:val="both"/>
        <w:rPr>
          <w:rFonts w:ascii="Avenir Roman" w:hAnsi="Avenir Roman"/>
          <w:b/>
          <w:sz w:val="28"/>
          <w:szCs w:val="28"/>
        </w:rPr>
      </w:pPr>
      <w:r w:rsidRPr="00BC7EFC">
        <w:rPr>
          <w:rFonts w:ascii="Avenir Roman" w:hAnsi="Avenir Roman"/>
          <w:b/>
          <w:sz w:val="28"/>
          <w:szCs w:val="28"/>
        </w:rPr>
        <w:t>Asda Stores v. Raymond (2018) UKEAT 0268/17</w:t>
      </w:r>
    </w:p>
    <w:p w14:paraId="2A5DDE03" w14:textId="25B4C8E5"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 xml:space="preserve">This is another case on ‘How not to handle investigations’. R, aged 60,was a driver. He suffered from diabetes, as was known to the employer. </w:t>
      </w:r>
      <w:r w:rsidR="00BC7EFC" w:rsidRPr="00632288">
        <w:rPr>
          <w:rFonts w:ascii="Avenir Book" w:hAnsi="Avenir Book"/>
          <w:sz w:val="28"/>
          <w:szCs w:val="28"/>
        </w:rPr>
        <w:t>Another employee spotted him</w:t>
      </w:r>
      <w:r w:rsidRPr="00632288">
        <w:rPr>
          <w:rFonts w:ascii="Avenir Book" w:hAnsi="Avenir Book"/>
          <w:sz w:val="28"/>
          <w:szCs w:val="28"/>
        </w:rPr>
        <w:t xml:space="preserve"> when he was delivering goods to their Harlow store. It was alleged that he urinated on some pallets. The employer saw this as breach of health and safety rules and neglect of company property and he was dismissed. R said he had urinated ‘discretely’ and had not used a toilet because the door was locked.</w:t>
      </w:r>
    </w:p>
    <w:p w14:paraId="6E1AE06B" w14:textId="08F8CDC7" w:rsidR="00394A5F" w:rsidRPr="00632288" w:rsidRDefault="00394A5F" w:rsidP="00394A5F">
      <w:pPr>
        <w:ind w:left="993"/>
        <w:jc w:val="both"/>
        <w:rPr>
          <w:rFonts w:ascii="Avenir Book" w:hAnsi="Avenir Book"/>
          <w:sz w:val="28"/>
          <w:szCs w:val="28"/>
        </w:rPr>
      </w:pPr>
      <w:r w:rsidRPr="00632288">
        <w:rPr>
          <w:rFonts w:ascii="Avenir Book" w:hAnsi="Avenir Book"/>
          <w:sz w:val="28"/>
          <w:szCs w:val="28"/>
        </w:rPr>
        <w:t xml:space="preserve">His claim was won, mainly due to the incompetence of the investigation etc. No record was kept of the telephone call from a fellow employee who said he had seen the incident. A week later an ‘investigator’ approached R but he had had no warning. He did not ask why R had urinated or whether there may have been some health reasons. There was no reference to any policy containing rules on urinating. In any event he denied urinating on the </w:t>
      </w:r>
      <w:r w:rsidR="00BC7EFC" w:rsidRPr="00632288">
        <w:rPr>
          <w:rFonts w:ascii="Avenir Book" w:hAnsi="Avenir Book"/>
          <w:sz w:val="28"/>
          <w:szCs w:val="28"/>
        </w:rPr>
        <w:t>pallets. So</w:t>
      </w:r>
      <w:r w:rsidRPr="00632288">
        <w:rPr>
          <w:rFonts w:ascii="Avenir Book" w:hAnsi="Avenir Book"/>
          <w:sz w:val="28"/>
          <w:szCs w:val="28"/>
        </w:rPr>
        <w:t>-really badly handled and R won</w:t>
      </w:r>
    </w:p>
    <w:p w14:paraId="3AAE0D07" w14:textId="77777777" w:rsidR="00D37588" w:rsidRDefault="00D37588" w:rsidP="00D37588">
      <w:pPr>
        <w:jc w:val="both"/>
        <w:rPr>
          <w:rFonts w:ascii="Avenir Book" w:hAnsi="Avenir Book"/>
          <w:b/>
          <w:sz w:val="28"/>
          <w:szCs w:val="28"/>
        </w:rPr>
      </w:pPr>
    </w:p>
    <w:p w14:paraId="177170B9" w14:textId="2014026F" w:rsidR="004E38E1" w:rsidRPr="00D37588" w:rsidRDefault="00FC6E67" w:rsidP="00D37588">
      <w:pPr>
        <w:ind w:firstLine="720"/>
        <w:jc w:val="both"/>
        <w:rPr>
          <w:rFonts w:ascii="Avenir Book" w:hAnsi="Avenir Book"/>
          <w:sz w:val="28"/>
          <w:szCs w:val="28"/>
        </w:rPr>
      </w:pPr>
      <w:r w:rsidRPr="00BC7EFC">
        <w:rPr>
          <w:rFonts w:ascii="Avenir Book" w:hAnsi="Avenir Book"/>
          <w:sz w:val="32"/>
          <w:szCs w:val="32"/>
          <w:lang w:val="en-GB"/>
        </w:rPr>
        <w:lastRenderedPageBreak/>
        <w:t>Further Action</w:t>
      </w:r>
      <w:r w:rsidRPr="00BC7EFC">
        <w:rPr>
          <w:rFonts w:ascii="Avenir Book" w:hAnsi="Avenir Book"/>
          <w:sz w:val="36"/>
          <w:szCs w:val="28"/>
          <w:lang w:val="en-GB"/>
        </w:rPr>
        <w:t>s</w:t>
      </w:r>
    </w:p>
    <w:sectPr w:rsidR="004E38E1" w:rsidRPr="00D37588" w:rsidSect="00394A5F">
      <w:footerReference w:type="even" r:id="rId10"/>
      <w:footerReference w:type="default" r:id="rId11"/>
      <w:pgSz w:w="11900" w:h="16820"/>
      <w:pgMar w:top="1276" w:right="843" w:bottom="1440" w:left="56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3EB50" w14:textId="77777777" w:rsidR="00E535BD" w:rsidRDefault="00E535BD" w:rsidP="003D7D6C">
      <w:pPr>
        <w:spacing w:after="0" w:line="240" w:lineRule="auto"/>
      </w:pPr>
      <w:r>
        <w:separator/>
      </w:r>
    </w:p>
  </w:endnote>
  <w:endnote w:type="continuationSeparator" w:id="0">
    <w:p w14:paraId="213542D0" w14:textId="77777777" w:rsidR="00E535BD" w:rsidRDefault="00E535BD" w:rsidP="003D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A8E5" w14:textId="77777777" w:rsidR="00E535BD" w:rsidRDefault="00E535BD" w:rsidP="00DC0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111EA" w14:textId="77777777" w:rsidR="00E535BD" w:rsidRDefault="00E535BD" w:rsidP="00DC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904BD" w14:textId="77777777" w:rsidR="00E535BD" w:rsidRDefault="00E535BD" w:rsidP="00DC09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0136" w14:textId="77777777" w:rsidR="00E535BD" w:rsidRDefault="00E535BD" w:rsidP="00DC0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011">
      <w:rPr>
        <w:rStyle w:val="PageNumber"/>
        <w:noProof/>
      </w:rPr>
      <w:t>2</w:t>
    </w:r>
    <w:r>
      <w:rPr>
        <w:rStyle w:val="PageNumber"/>
      </w:rPr>
      <w:fldChar w:fldCharType="end"/>
    </w:r>
  </w:p>
  <w:p w14:paraId="5BA63714" w14:textId="77777777" w:rsidR="00E535BD" w:rsidRDefault="00E535BD" w:rsidP="00DC092D">
    <w:pPr>
      <w:pStyle w:val="Footer"/>
      <w:ind w:right="360"/>
      <w:jc w:val="center"/>
    </w:pPr>
  </w:p>
  <w:p w14:paraId="129BD887" w14:textId="77777777" w:rsidR="00E535BD" w:rsidRDefault="00E535BD" w:rsidP="00DC092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B8A1A" w14:textId="77777777" w:rsidR="00E535BD" w:rsidRDefault="00E535BD" w:rsidP="003D7D6C">
      <w:pPr>
        <w:spacing w:after="0" w:line="240" w:lineRule="auto"/>
      </w:pPr>
      <w:r>
        <w:separator/>
      </w:r>
    </w:p>
  </w:footnote>
  <w:footnote w:type="continuationSeparator" w:id="0">
    <w:p w14:paraId="3F732706" w14:textId="77777777" w:rsidR="00E535BD" w:rsidRDefault="00E535BD" w:rsidP="003D7D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8B1"/>
    <w:multiLevelType w:val="multilevel"/>
    <w:tmpl w:val="E098DA5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F49141B"/>
    <w:multiLevelType w:val="hybridMultilevel"/>
    <w:tmpl w:val="08FC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D7D5C"/>
    <w:multiLevelType w:val="multilevel"/>
    <w:tmpl w:val="FBE4ED6E"/>
    <w:lvl w:ilvl="0">
      <w:start w:val="1"/>
      <w:numFmt w:val="decimal"/>
      <w:lvlText w:val="%1."/>
      <w:lvlJc w:val="left"/>
      <w:pPr>
        <w:ind w:left="720" w:hanging="360"/>
      </w:pPr>
      <w:rPr>
        <w:sz w:val="36"/>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nsid w:val="167B20F6"/>
    <w:multiLevelType w:val="hybridMultilevel"/>
    <w:tmpl w:val="4F5C0E7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20731396"/>
    <w:multiLevelType w:val="hybridMultilevel"/>
    <w:tmpl w:val="86B201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07AE6"/>
    <w:multiLevelType w:val="hybridMultilevel"/>
    <w:tmpl w:val="412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F1B48"/>
    <w:multiLevelType w:val="hybridMultilevel"/>
    <w:tmpl w:val="96049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4472A"/>
    <w:multiLevelType w:val="hybridMultilevel"/>
    <w:tmpl w:val="C9D23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06FA9"/>
    <w:multiLevelType w:val="hybridMultilevel"/>
    <w:tmpl w:val="EB3057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8601321"/>
    <w:multiLevelType w:val="hybridMultilevel"/>
    <w:tmpl w:val="2684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77D9C"/>
    <w:multiLevelType w:val="hybridMultilevel"/>
    <w:tmpl w:val="35A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920CF"/>
    <w:multiLevelType w:val="hybridMultilevel"/>
    <w:tmpl w:val="C1C2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002ED"/>
    <w:multiLevelType w:val="hybridMultilevel"/>
    <w:tmpl w:val="006A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1300E"/>
    <w:multiLevelType w:val="hybridMultilevel"/>
    <w:tmpl w:val="82BC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34BB9"/>
    <w:multiLevelType w:val="hybridMultilevel"/>
    <w:tmpl w:val="5AD06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47F21"/>
    <w:multiLevelType w:val="hybridMultilevel"/>
    <w:tmpl w:val="D82A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87D00"/>
    <w:multiLevelType w:val="multilevel"/>
    <w:tmpl w:val="115EAB76"/>
    <w:lvl w:ilvl="0">
      <w:start w:val="1"/>
      <w:numFmt w:val="decimal"/>
      <w:lvlText w:val="%1"/>
      <w:lvlJc w:val="left"/>
      <w:pPr>
        <w:ind w:left="540" w:hanging="540"/>
      </w:pPr>
      <w:rPr>
        <w:rFonts w:hint="default"/>
        <w:b w:val="0"/>
      </w:rPr>
    </w:lvl>
    <w:lvl w:ilvl="1">
      <w:start w:val="1"/>
      <w:numFmt w:val="decimal"/>
      <w:lvlText w:val="%1.%2"/>
      <w:lvlJc w:val="left"/>
      <w:pPr>
        <w:ind w:left="862" w:hanging="720"/>
      </w:pPr>
      <w:rPr>
        <w:rFonts w:hint="default"/>
        <w:b/>
        <w:sz w:val="28"/>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7">
    <w:nsid w:val="42B426BA"/>
    <w:multiLevelType w:val="hybridMultilevel"/>
    <w:tmpl w:val="B7C0F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522797"/>
    <w:multiLevelType w:val="hybridMultilevel"/>
    <w:tmpl w:val="6EA8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576F1"/>
    <w:multiLevelType w:val="hybridMultilevel"/>
    <w:tmpl w:val="C6A2CF18"/>
    <w:lvl w:ilvl="0" w:tplc="04090001">
      <w:start w:val="1"/>
      <w:numFmt w:val="bullet"/>
      <w:lvlText w:val=""/>
      <w:lvlJc w:val="left"/>
      <w:pPr>
        <w:ind w:left="720" w:hanging="360"/>
      </w:pPr>
      <w:rPr>
        <w:rFonts w:ascii="Symbol" w:hAnsi="Symbol" w:hint="default"/>
      </w:rPr>
    </w:lvl>
    <w:lvl w:ilvl="1" w:tplc="5FBADC28">
      <w:numFmt w:val="bullet"/>
      <w:lvlText w:val="-"/>
      <w:lvlJc w:val="left"/>
      <w:pPr>
        <w:ind w:left="2020" w:hanging="940"/>
      </w:pPr>
      <w:rPr>
        <w:rFonts w:ascii="Avenir Book" w:eastAsiaTheme="minorHAnsi" w:hAnsi="Avenir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82B4E"/>
    <w:multiLevelType w:val="hybridMultilevel"/>
    <w:tmpl w:val="0C26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E736A"/>
    <w:multiLevelType w:val="hybridMultilevel"/>
    <w:tmpl w:val="17C6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5504EB"/>
    <w:multiLevelType w:val="hybridMultilevel"/>
    <w:tmpl w:val="D24EB9D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E1D5167"/>
    <w:multiLevelType w:val="hybridMultilevel"/>
    <w:tmpl w:val="B7D857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1A0C01"/>
    <w:multiLevelType w:val="hybridMultilevel"/>
    <w:tmpl w:val="629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95949"/>
    <w:multiLevelType w:val="hybridMultilevel"/>
    <w:tmpl w:val="48C4E36A"/>
    <w:lvl w:ilvl="0" w:tplc="34C016A2">
      <w:start w:val="1"/>
      <w:numFmt w:val="decimal"/>
      <w:lvlText w:val="%1."/>
      <w:lvlJc w:val="left"/>
      <w:pPr>
        <w:ind w:left="720" w:hanging="360"/>
      </w:pPr>
      <w:rPr>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827B0"/>
    <w:multiLevelType w:val="hybridMultilevel"/>
    <w:tmpl w:val="02A82C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C095EEF"/>
    <w:multiLevelType w:val="hybridMultilevel"/>
    <w:tmpl w:val="2F02B6EA"/>
    <w:lvl w:ilvl="0" w:tplc="BAA83E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784308"/>
    <w:multiLevelType w:val="hybridMultilevel"/>
    <w:tmpl w:val="AB2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93D79"/>
    <w:multiLevelType w:val="hybridMultilevel"/>
    <w:tmpl w:val="36688B2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0">
    <w:nsid w:val="6FED2E67"/>
    <w:multiLevelType w:val="hybridMultilevel"/>
    <w:tmpl w:val="CF22C4A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1">
    <w:nsid w:val="72A734FD"/>
    <w:multiLevelType w:val="hybridMultilevel"/>
    <w:tmpl w:val="3A0C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124872"/>
    <w:multiLevelType w:val="hybridMultilevel"/>
    <w:tmpl w:val="FFB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81855"/>
    <w:multiLevelType w:val="hybridMultilevel"/>
    <w:tmpl w:val="7508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1C1805"/>
    <w:multiLevelType w:val="hybridMultilevel"/>
    <w:tmpl w:val="55C4D6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6"/>
  </w:num>
  <w:num w:numId="4">
    <w:abstractNumId w:val="3"/>
  </w:num>
  <w:num w:numId="5">
    <w:abstractNumId w:val="13"/>
  </w:num>
  <w:num w:numId="6">
    <w:abstractNumId w:val="2"/>
  </w:num>
  <w:num w:numId="7">
    <w:abstractNumId w:val="32"/>
  </w:num>
  <w:num w:numId="8">
    <w:abstractNumId w:val="28"/>
  </w:num>
  <w:num w:numId="9">
    <w:abstractNumId w:val="18"/>
  </w:num>
  <w:num w:numId="10">
    <w:abstractNumId w:val="7"/>
  </w:num>
  <w:num w:numId="11">
    <w:abstractNumId w:val="0"/>
  </w:num>
  <w:num w:numId="12">
    <w:abstractNumId w:val="9"/>
  </w:num>
  <w:num w:numId="13">
    <w:abstractNumId w:val="24"/>
  </w:num>
  <w:num w:numId="14">
    <w:abstractNumId w:val="14"/>
  </w:num>
  <w:num w:numId="15">
    <w:abstractNumId w:val="22"/>
  </w:num>
  <w:num w:numId="16">
    <w:abstractNumId w:val="25"/>
  </w:num>
  <w:num w:numId="17">
    <w:abstractNumId w:val="5"/>
  </w:num>
  <w:num w:numId="18">
    <w:abstractNumId w:val="31"/>
  </w:num>
  <w:num w:numId="19">
    <w:abstractNumId w:val="11"/>
  </w:num>
  <w:num w:numId="20">
    <w:abstractNumId w:val="10"/>
  </w:num>
  <w:num w:numId="21">
    <w:abstractNumId w:val="19"/>
  </w:num>
  <w:num w:numId="22">
    <w:abstractNumId w:val="17"/>
  </w:num>
  <w:num w:numId="23">
    <w:abstractNumId w:val="15"/>
  </w:num>
  <w:num w:numId="24">
    <w:abstractNumId w:val="21"/>
  </w:num>
  <w:num w:numId="25">
    <w:abstractNumId w:val="6"/>
  </w:num>
  <w:num w:numId="26">
    <w:abstractNumId w:val="4"/>
  </w:num>
  <w:num w:numId="27">
    <w:abstractNumId w:val="1"/>
  </w:num>
  <w:num w:numId="28">
    <w:abstractNumId w:val="33"/>
  </w:num>
  <w:num w:numId="29">
    <w:abstractNumId w:val="12"/>
  </w:num>
  <w:num w:numId="30">
    <w:abstractNumId w:val="20"/>
  </w:num>
  <w:num w:numId="31">
    <w:abstractNumId w:val="34"/>
  </w:num>
  <w:num w:numId="32">
    <w:abstractNumId w:val="23"/>
  </w:num>
  <w:num w:numId="33">
    <w:abstractNumId w:val="27"/>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95"/>
    <w:rsid w:val="000062C9"/>
    <w:rsid w:val="0002343F"/>
    <w:rsid w:val="000752E9"/>
    <w:rsid w:val="00077BC2"/>
    <w:rsid w:val="00085FDA"/>
    <w:rsid w:val="00093F01"/>
    <w:rsid w:val="00105A82"/>
    <w:rsid w:val="00116DB5"/>
    <w:rsid w:val="001E213F"/>
    <w:rsid w:val="00215F51"/>
    <w:rsid w:val="00223028"/>
    <w:rsid w:val="00256000"/>
    <w:rsid w:val="0027354F"/>
    <w:rsid w:val="002B61A0"/>
    <w:rsid w:val="002C5F6C"/>
    <w:rsid w:val="002E4EFF"/>
    <w:rsid w:val="002E58E3"/>
    <w:rsid w:val="00326749"/>
    <w:rsid w:val="00344B6E"/>
    <w:rsid w:val="00352E86"/>
    <w:rsid w:val="00355681"/>
    <w:rsid w:val="00365F23"/>
    <w:rsid w:val="00394A5F"/>
    <w:rsid w:val="003A6873"/>
    <w:rsid w:val="003B1EB0"/>
    <w:rsid w:val="003C4541"/>
    <w:rsid w:val="003D7D6C"/>
    <w:rsid w:val="004260AE"/>
    <w:rsid w:val="0044423F"/>
    <w:rsid w:val="00495465"/>
    <w:rsid w:val="004B5046"/>
    <w:rsid w:val="004E38E1"/>
    <w:rsid w:val="004E3BB0"/>
    <w:rsid w:val="005043A2"/>
    <w:rsid w:val="005B427C"/>
    <w:rsid w:val="005C41E6"/>
    <w:rsid w:val="005E2E87"/>
    <w:rsid w:val="00621FB9"/>
    <w:rsid w:val="0065245B"/>
    <w:rsid w:val="006676F5"/>
    <w:rsid w:val="006D03CE"/>
    <w:rsid w:val="006D45A2"/>
    <w:rsid w:val="00733329"/>
    <w:rsid w:val="00735748"/>
    <w:rsid w:val="007B754F"/>
    <w:rsid w:val="008074C5"/>
    <w:rsid w:val="008604A5"/>
    <w:rsid w:val="009A085D"/>
    <w:rsid w:val="009A36C8"/>
    <w:rsid w:val="009B6986"/>
    <w:rsid w:val="009D3111"/>
    <w:rsid w:val="00A44694"/>
    <w:rsid w:val="00A92724"/>
    <w:rsid w:val="00AA3354"/>
    <w:rsid w:val="00AB3FFE"/>
    <w:rsid w:val="00AC0D1B"/>
    <w:rsid w:val="00AD1427"/>
    <w:rsid w:val="00AD3EEE"/>
    <w:rsid w:val="00B47B04"/>
    <w:rsid w:val="00B92A86"/>
    <w:rsid w:val="00BB1C08"/>
    <w:rsid w:val="00BC7EFC"/>
    <w:rsid w:val="00BE3011"/>
    <w:rsid w:val="00C02B39"/>
    <w:rsid w:val="00C42535"/>
    <w:rsid w:val="00C62721"/>
    <w:rsid w:val="00C95BDC"/>
    <w:rsid w:val="00CB7251"/>
    <w:rsid w:val="00D37588"/>
    <w:rsid w:val="00D64F58"/>
    <w:rsid w:val="00D9312C"/>
    <w:rsid w:val="00DC092D"/>
    <w:rsid w:val="00DC15CE"/>
    <w:rsid w:val="00DF4106"/>
    <w:rsid w:val="00E02E95"/>
    <w:rsid w:val="00E04197"/>
    <w:rsid w:val="00E05B1B"/>
    <w:rsid w:val="00E12811"/>
    <w:rsid w:val="00E43F53"/>
    <w:rsid w:val="00E535BD"/>
    <w:rsid w:val="00EE43B1"/>
    <w:rsid w:val="00F0540E"/>
    <w:rsid w:val="00F56297"/>
    <w:rsid w:val="00FA5C5E"/>
    <w:rsid w:val="00FC6E67"/>
    <w:rsid w:val="00FE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4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04"/>
    <w:pPr>
      <w:ind w:left="720"/>
      <w:contextualSpacing/>
    </w:pPr>
  </w:style>
  <w:style w:type="paragraph" w:styleId="Header">
    <w:name w:val="header"/>
    <w:basedOn w:val="Normal"/>
    <w:link w:val="HeaderChar"/>
    <w:uiPriority w:val="99"/>
    <w:unhideWhenUsed/>
    <w:rsid w:val="003D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6C"/>
  </w:style>
  <w:style w:type="paragraph" w:styleId="Footer">
    <w:name w:val="footer"/>
    <w:basedOn w:val="Normal"/>
    <w:link w:val="FooterChar"/>
    <w:uiPriority w:val="99"/>
    <w:unhideWhenUsed/>
    <w:rsid w:val="003D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6C"/>
  </w:style>
  <w:style w:type="character" w:styleId="PageNumber">
    <w:name w:val="page number"/>
    <w:basedOn w:val="DefaultParagraphFont"/>
    <w:uiPriority w:val="99"/>
    <w:semiHidden/>
    <w:unhideWhenUsed/>
    <w:rsid w:val="00DC092D"/>
  </w:style>
  <w:style w:type="character" w:styleId="Hyperlink">
    <w:name w:val="Hyperlink"/>
    <w:basedOn w:val="DefaultParagraphFont"/>
    <w:uiPriority w:val="99"/>
    <w:unhideWhenUsed/>
    <w:rsid w:val="00F0540E"/>
    <w:rPr>
      <w:color w:val="0000FF" w:themeColor="hyperlink"/>
      <w:u w:val="single"/>
    </w:rPr>
  </w:style>
  <w:style w:type="character" w:styleId="FollowedHyperlink">
    <w:name w:val="FollowedHyperlink"/>
    <w:basedOn w:val="DefaultParagraphFont"/>
    <w:uiPriority w:val="99"/>
    <w:semiHidden/>
    <w:unhideWhenUsed/>
    <w:rsid w:val="002B61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04"/>
    <w:pPr>
      <w:ind w:left="720"/>
      <w:contextualSpacing/>
    </w:pPr>
  </w:style>
  <w:style w:type="paragraph" w:styleId="Header">
    <w:name w:val="header"/>
    <w:basedOn w:val="Normal"/>
    <w:link w:val="HeaderChar"/>
    <w:uiPriority w:val="99"/>
    <w:unhideWhenUsed/>
    <w:rsid w:val="003D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6C"/>
  </w:style>
  <w:style w:type="paragraph" w:styleId="Footer">
    <w:name w:val="footer"/>
    <w:basedOn w:val="Normal"/>
    <w:link w:val="FooterChar"/>
    <w:uiPriority w:val="99"/>
    <w:unhideWhenUsed/>
    <w:rsid w:val="003D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6C"/>
  </w:style>
  <w:style w:type="character" w:styleId="PageNumber">
    <w:name w:val="page number"/>
    <w:basedOn w:val="DefaultParagraphFont"/>
    <w:uiPriority w:val="99"/>
    <w:semiHidden/>
    <w:unhideWhenUsed/>
    <w:rsid w:val="00DC092D"/>
  </w:style>
  <w:style w:type="character" w:styleId="Hyperlink">
    <w:name w:val="Hyperlink"/>
    <w:basedOn w:val="DefaultParagraphFont"/>
    <w:uiPriority w:val="99"/>
    <w:unhideWhenUsed/>
    <w:rsid w:val="00F0540E"/>
    <w:rPr>
      <w:color w:val="0000FF" w:themeColor="hyperlink"/>
      <w:u w:val="single"/>
    </w:rPr>
  </w:style>
  <w:style w:type="character" w:styleId="FollowedHyperlink">
    <w:name w:val="FollowedHyperlink"/>
    <w:basedOn w:val="DefaultParagraphFont"/>
    <w:uiPriority w:val="99"/>
    <w:semiHidden/>
    <w:unhideWhenUsed/>
    <w:rsid w:val="002B6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9203">
      <w:bodyDiv w:val="1"/>
      <w:marLeft w:val="0"/>
      <w:marRight w:val="0"/>
      <w:marTop w:val="0"/>
      <w:marBottom w:val="0"/>
      <w:divBdr>
        <w:top w:val="none" w:sz="0" w:space="0" w:color="auto"/>
        <w:left w:val="none" w:sz="0" w:space="0" w:color="auto"/>
        <w:bottom w:val="none" w:sz="0" w:space="0" w:color="auto"/>
        <w:right w:val="none" w:sz="0" w:space="0" w:color="auto"/>
      </w:divBdr>
    </w:div>
    <w:div w:id="8316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3C4F-3D5E-2E41-B9E7-B63ECAF6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2442</Words>
  <Characters>13921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Jaye</cp:lastModifiedBy>
  <cp:revision>7</cp:revision>
  <cp:lastPrinted>2018-01-17T14:55:00Z</cp:lastPrinted>
  <dcterms:created xsi:type="dcterms:W3CDTF">2019-01-15T19:32:00Z</dcterms:created>
  <dcterms:modified xsi:type="dcterms:W3CDTF">2019-01-15T20:00:00Z</dcterms:modified>
</cp:coreProperties>
</file>