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428A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  <w:r>
        <w:rPr>
          <w:rFonts w:ascii="Avenir Roman" w:hAnsi="Avenir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75197" wp14:editId="2341DF28">
            <wp:simplePos x="0" y="0"/>
            <wp:positionH relativeFrom="column">
              <wp:posOffset>4899660</wp:posOffset>
            </wp:positionH>
            <wp:positionV relativeFrom="paragraph">
              <wp:posOffset>317500</wp:posOffset>
            </wp:positionV>
            <wp:extent cx="2242820" cy="767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-LAW-EXCHANGE-FINAL1---V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24"/>
          <w:szCs w:val="24"/>
          <w:lang w:val="en-GB"/>
        </w:rPr>
        <w:t xml:space="preserve">  </w:t>
      </w:r>
    </w:p>
    <w:p w14:paraId="4C5D77A2" w14:textId="77777777" w:rsidR="004D42D0" w:rsidRDefault="004D42D0" w:rsidP="004D42D0">
      <w:pPr>
        <w:rPr>
          <w:rFonts w:ascii="Avenir Book" w:hAnsi="Avenir Book"/>
          <w:sz w:val="24"/>
          <w:szCs w:val="24"/>
          <w:lang w:val="en-GB"/>
        </w:rPr>
      </w:pPr>
    </w:p>
    <w:p w14:paraId="38C350FA" w14:textId="77777777" w:rsidR="004D42D0" w:rsidRDefault="004D42D0">
      <w:pPr>
        <w:rPr>
          <w:rFonts w:ascii="Avenir Roman" w:hAnsi="Avenir Roman"/>
          <w:color w:val="404040" w:themeColor="text1" w:themeTint="BF"/>
          <w:sz w:val="40"/>
          <w:szCs w:val="24"/>
          <w:lang w:val="en-GB"/>
        </w:rPr>
      </w:pPr>
    </w:p>
    <w:p w14:paraId="38065978" w14:textId="655EB278" w:rsidR="004D42D0" w:rsidRPr="004D42D0" w:rsidRDefault="004D42D0">
      <w:pPr>
        <w:rPr>
          <w:rFonts w:ascii="Avenir Roman" w:hAnsi="Avenir Roman"/>
          <w:color w:val="404040" w:themeColor="text1" w:themeTint="BF"/>
          <w:sz w:val="24"/>
          <w:szCs w:val="24"/>
          <w:lang w:val="en-GB"/>
        </w:rPr>
      </w:pPr>
      <w:r w:rsidRPr="004D42D0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>Employment Law Exchange</w:t>
      </w:r>
      <w:r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Quiz</w:t>
      </w:r>
      <w:r w:rsidR="00C21A2C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 xml:space="preserve"> – Matters relating to </w:t>
      </w:r>
      <w:bookmarkStart w:id="0" w:name="_GoBack"/>
      <w:bookmarkEnd w:id="0"/>
      <w:r w:rsidR="006A52CC">
        <w:rPr>
          <w:rFonts w:ascii="Avenir Roman" w:hAnsi="Avenir Roman"/>
          <w:color w:val="404040" w:themeColor="text1" w:themeTint="BF"/>
          <w:sz w:val="40"/>
          <w:szCs w:val="24"/>
          <w:lang w:val="en-GB"/>
        </w:rPr>
        <w:t>pay</w:t>
      </w:r>
    </w:p>
    <w:tbl>
      <w:tblPr>
        <w:tblStyle w:val="TableGrid"/>
        <w:tblW w:w="11247" w:type="dxa"/>
        <w:tblInd w:w="108" w:type="dxa"/>
        <w:tblLook w:val="04A0" w:firstRow="1" w:lastRow="0" w:firstColumn="1" w:lastColumn="0" w:noHBand="0" w:noVBand="1"/>
      </w:tblPr>
      <w:tblGrid>
        <w:gridCol w:w="9639"/>
        <w:gridCol w:w="567"/>
        <w:gridCol w:w="567"/>
        <w:gridCol w:w="474"/>
      </w:tblGrid>
      <w:tr w:rsidR="004D42D0" w:rsidRPr="004D42D0" w14:paraId="5FC47671" w14:textId="77777777" w:rsidTr="004D42D0">
        <w:trPr>
          <w:trHeight w:val="346"/>
        </w:trPr>
        <w:tc>
          <w:tcPr>
            <w:tcW w:w="9639" w:type="dxa"/>
            <w:shd w:val="clear" w:color="auto" w:fill="999999"/>
          </w:tcPr>
          <w:p w14:paraId="66A3117B" w14:textId="77777777" w:rsidR="004D42D0" w:rsidRPr="004D42D0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8E28110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T</w:t>
            </w:r>
          </w:p>
        </w:tc>
        <w:tc>
          <w:tcPr>
            <w:tcW w:w="567" w:type="dxa"/>
          </w:tcPr>
          <w:p w14:paraId="447E136F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F</w:t>
            </w:r>
          </w:p>
        </w:tc>
        <w:tc>
          <w:tcPr>
            <w:tcW w:w="474" w:type="dxa"/>
          </w:tcPr>
          <w:p w14:paraId="33BC743F" w14:textId="77777777" w:rsidR="004D42D0" w:rsidRPr="004D42D0" w:rsidRDefault="004D42D0">
            <w:pPr>
              <w:rPr>
                <w:rFonts w:ascii="Avenir Book" w:hAnsi="Avenir Book"/>
                <w:b/>
                <w:sz w:val="32"/>
                <w:szCs w:val="24"/>
                <w:lang w:val="en-GB"/>
              </w:rPr>
            </w:pPr>
            <w:r w:rsidRPr="004D42D0">
              <w:rPr>
                <w:rFonts w:ascii="Avenir Book" w:hAnsi="Avenir Book"/>
                <w:b/>
                <w:sz w:val="32"/>
                <w:szCs w:val="24"/>
                <w:lang w:val="en-GB"/>
              </w:rPr>
              <w:t>I</w:t>
            </w:r>
          </w:p>
        </w:tc>
      </w:tr>
      <w:tr w:rsidR="004D42D0" w:rsidRPr="006A52CC" w14:paraId="63FA080F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29E969A7" w14:textId="1591091F" w:rsidR="004D42D0" w:rsidRPr="006A52CC" w:rsidRDefault="00C21A2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Mary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and John did a Business degree at the same university, got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the same class of degree and both won prizes for Entrepreneurship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Potential. They must be paid the same when recruited by you to </w:t>
            </w:r>
            <w:r w:rsidR="006A52CC">
              <w:rPr>
                <w:rFonts w:ascii="Avenir Book" w:hAnsi="Avenir Book"/>
                <w:sz w:val="24"/>
                <w:szCs w:val="24"/>
                <w:lang w:val="en-GB"/>
              </w:rPr>
              <w:t>perform similar roles in the Marketing Dept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.</w:t>
            </w:r>
          </w:p>
        </w:tc>
        <w:tc>
          <w:tcPr>
            <w:tcW w:w="567" w:type="dxa"/>
          </w:tcPr>
          <w:p w14:paraId="7A86FA1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736318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6517FAB6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90526B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3EA46CFC" w14:textId="2EF2721B" w:rsidR="00D065FD" w:rsidRPr="006A52CC" w:rsidRDefault="00C21A2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Following a major accident in 2010, Tony was moved to a less</w:t>
            </w:r>
            <w:r w:rsidR="006A52CC"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demanding role, but is still receiving his ‘old’ pay. This is illegal.</w:t>
            </w:r>
          </w:p>
        </w:tc>
        <w:tc>
          <w:tcPr>
            <w:tcW w:w="567" w:type="dxa"/>
          </w:tcPr>
          <w:p w14:paraId="44F5C93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4349893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0CDFA39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7E48BB53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0E9C75DE" w14:textId="5CDD4023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proofErr w:type="spellStart"/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Minguey</w:t>
            </w:r>
            <w:proofErr w:type="spellEnd"/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Ltd has a strictly enf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orced policy of ‘no discussion’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’no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disclosure’ to anyone of bonus and basic pay data. This in now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unlawful and unenforceable.</w:t>
            </w:r>
          </w:p>
        </w:tc>
        <w:tc>
          <w:tcPr>
            <w:tcW w:w="567" w:type="dxa"/>
          </w:tcPr>
          <w:p w14:paraId="2362918E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776A82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3E1D1F5B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A05B3A7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1672CB35" w14:textId="22903CC4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Cheapo Supermarkets has reduce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d the pay of all staff by 10%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stating ‘for our survi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>val as a business this is vital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; this is reasonable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conduct on our behalf. If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staff challenges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 xml:space="preserve"> us they will be dismissed and offered a new contract on the new terms’. This is lawful.</w:t>
            </w:r>
          </w:p>
        </w:tc>
        <w:tc>
          <w:tcPr>
            <w:tcW w:w="567" w:type="dxa"/>
          </w:tcPr>
          <w:p w14:paraId="4CEA6E9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58A19BDA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AE4E3D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0426BDD6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2AA68BE8" w14:textId="2B6886CD" w:rsidR="004D42D0" w:rsidRPr="006A52CC" w:rsidRDefault="006A52CC" w:rsidP="006A52CC">
            <w:pPr>
              <w:spacing w:before="120" w:after="12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Ahmed is supplied to you by an agency. You tell him that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i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n order to comply with your duties regarding gender pay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reporting he must tell you how much the agency is paying him.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He refuses, saying, this is ‘none of your business-the agency is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my employer-pay is between me and them’ .He can be excluded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from your data.</w:t>
            </w:r>
          </w:p>
        </w:tc>
        <w:tc>
          <w:tcPr>
            <w:tcW w:w="567" w:type="dxa"/>
          </w:tcPr>
          <w:p w14:paraId="525202B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F402D75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4C1CB3B3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023375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7E39AFA2" w14:textId="640831A0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Martha is 24. She is entitled to at least £7.50 an hour’s pay</w:t>
            </w:r>
          </w:p>
        </w:tc>
        <w:tc>
          <w:tcPr>
            <w:tcW w:w="567" w:type="dxa"/>
          </w:tcPr>
          <w:p w14:paraId="0613D9E8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429B5D17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5D4F23F4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7076A5C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4B376D85" w14:textId="357B1691" w:rsidR="004D42D0" w:rsidRPr="006A52CC" w:rsidRDefault="006A52CC" w:rsidP="006A52CC">
            <w:pPr>
              <w:spacing w:before="120" w:after="120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Henry is paid an accommodation allowance of £120 a week, as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he is required to hold regional staff meetings at his house. This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is not paid during his holidays. This is unlawful.</w:t>
            </w:r>
          </w:p>
        </w:tc>
        <w:tc>
          <w:tcPr>
            <w:tcW w:w="567" w:type="dxa"/>
          </w:tcPr>
          <w:p w14:paraId="28717636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3D0C8D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BB6988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4C96F33B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3B1BB7BF" w14:textId="067E8CE3" w:rsidR="004D42D0" w:rsidRPr="006A52CC" w:rsidRDefault="006A52CC" w:rsidP="006A52CC">
            <w:pPr>
              <w:spacing w:before="120" w:after="120"/>
              <w:ind w:left="105"/>
              <w:jc w:val="both"/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You do not have to report data regarding pay of an employee</w:t>
            </w:r>
            <w:r>
              <w:rPr>
                <w:rFonts w:ascii="Avenir Book" w:hAnsi="Avenir Book"/>
                <w:sz w:val="24"/>
                <w:szCs w:val="24"/>
                <w:lang w:val="en-GB"/>
              </w:rPr>
              <w:t xml:space="preserve"> </w:t>
            </w: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who refuses to identify their gender.</w:t>
            </w:r>
          </w:p>
        </w:tc>
        <w:tc>
          <w:tcPr>
            <w:tcW w:w="567" w:type="dxa"/>
          </w:tcPr>
          <w:p w14:paraId="3164F08F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086D6416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67A55411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2BBF75A3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0BE81E92" w14:textId="2A1EDFD2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Holidays cannot be carried forward beyond the holiday ‘year’.</w:t>
            </w:r>
          </w:p>
        </w:tc>
        <w:tc>
          <w:tcPr>
            <w:tcW w:w="567" w:type="dxa"/>
          </w:tcPr>
          <w:p w14:paraId="62E9769E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3178725A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74C7B032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  <w:tr w:rsidR="004D42D0" w:rsidRPr="006A52CC" w14:paraId="51C308B4" w14:textId="77777777" w:rsidTr="004D42D0">
        <w:trPr>
          <w:trHeight w:val="373"/>
        </w:trPr>
        <w:tc>
          <w:tcPr>
            <w:tcW w:w="9639" w:type="dxa"/>
            <w:vAlign w:val="center"/>
          </w:tcPr>
          <w:p w14:paraId="7A6DBA12" w14:textId="3A4A828E" w:rsidR="004D42D0" w:rsidRPr="006A52CC" w:rsidRDefault="006A52CC" w:rsidP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  <w:r w:rsidRPr="006A52CC">
              <w:rPr>
                <w:rFonts w:ascii="Avenir Book" w:hAnsi="Avenir Book"/>
                <w:sz w:val="24"/>
                <w:szCs w:val="24"/>
                <w:lang w:val="en-GB"/>
              </w:rPr>
              <w:t>The award of the bonus is at the employer’s total discretion.</w:t>
            </w:r>
          </w:p>
        </w:tc>
        <w:tc>
          <w:tcPr>
            <w:tcW w:w="567" w:type="dxa"/>
          </w:tcPr>
          <w:p w14:paraId="5E883741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2ABC960D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  <w:tc>
          <w:tcPr>
            <w:tcW w:w="474" w:type="dxa"/>
          </w:tcPr>
          <w:p w14:paraId="1FD5379B" w14:textId="77777777" w:rsidR="004D42D0" w:rsidRPr="006A52CC" w:rsidRDefault="004D42D0">
            <w:pPr>
              <w:rPr>
                <w:rFonts w:ascii="Avenir Book" w:hAnsi="Avenir Book"/>
                <w:sz w:val="24"/>
                <w:szCs w:val="24"/>
                <w:lang w:val="en-GB"/>
              </w:rPr>
            </w:pPr>
          </w:p>
        </w:tc>
      </w:tr>
    </w:tbl>
    <w:p w14:paraId="75C9B525" w14:textId="77777777" w:rsidR="004D42D0" w:rsidRPr="006A52CC" w:rsidRDefault="004D42D0">
      <w:pPr>
        <w:rPr>
          <w:rFonts w:ascii="Avenir Book" w:hAnsi="Avenir Book"/>
          <w:sz w:val="24"/>
          <w:szCs w:val="24"/>
          <w:lang w:val="en-GB"/>
        </w:rPr>
      </w:pPr>
    </w:p>
    <w:sectPr w:rsidR="004D42D0" w:rsidRPr="006A52CC" w:rsidSect="00BB0A46">
      <w:pgSz w:w="12240" w:h="15840"/>
      <w:pgMar w:top="0" w:right="14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8"/>
    <w:rsid w:val="001528A9"/>
    <w:rsid w:val="001952C8"/>
    <w:rsid w:val="004D42D0"/>
    <w:rsid w:val="00506747"/>
    <w:rsid w:val="006A52CC"/>
    <w:rsid w:val="007F1B6C"/>
    <w:rsid w:val="00870702"/>
    <w:rsid w:val="00A97A2F"/>
    <w:rsid w:val="00BB0A46"/>
    <w:rsid w:val="00BF02DD"/>
    <w:rsid w:val="00C21A2C"/>
    <w:rsid w:val="00CE19B8"/>
    <w:rsid w:val="00D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4B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2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Jaye</cp:lastModifiedBy>
  <cp:revision>3</cp:revision>
  <dcterms:created xsi:type="dcterms:W3CDTF">2017-06-11T16:18:00Z</dcterms:created>
  <dcterms:modified xsi:type="dcterms:W3CDTF">2017-06-11T16:23:00Z</dcterms:modified>
</cp:coreProperties>
</file>