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2431" w:type="dxa"/>
        <w:tblInd w:w="-459" w:type="dxa"/>
        <w:tblLayout w:type="fixed"/>
        <w:tblLook w:val="01E0" w:firstRow="1" w:lastRow="1" w:firstColumn="1" w:lastColumn="1" w:noHBand="0" w:noVBand="0"/>
      </w:tblPr>
      <w:tblGrid>
        <w:gridCol w:w="807"/>
        <w:gridCol w:w="4537"/>
        <w:gridCol w:w="6280"/>
        <w:gridCol w:w="807"/>
      </w:tblGrid>
      <w:tr w:rsidR="003F5083" w14:paraId="23B45082" w14:textId="77777777" w:rsidTr="001A10EB">
        <w:trPr>
          <w:gridBefore w:val="1"/>
          <w:wBefore w:w="807" w:type="dxa"/>
          <w:trHeight w:val="123"/>
        </w:trPr>
        <w:tc>
          <w:tcPr>
            <w:tcW w:w="11624" w:type="dxa"/>
            <w:gridSpan w:val="3"/>
            <w:shd w:val="clear" w:color="auto" w:fill="auto"/>
          </w:tcPr>
          <w:p w14:paraId="0AB6D920" w14:textId="0D2C7D14" w:rsidR="003F5083" w:rsidRDefault="00FD6011" w:rsidP="001A10EB">
            <w:pPr>
              <w:pStyle w:val="BodyText"/>
              <w:tabs>
                <w:tab w:val="left" w:pos="175"/>
                <w:tab w:val="left" w:pos="317"/>
                <w:tab w:val="left" w:pos="459"/>
                <w:tab w:val="left" w:pos="4145"/>
                <w:tab w:val="left" w:pos="4428"/>
                <w:tab w:val="left" w:pos="10665"/>
              </w:tabs>
              <w:ind w:left="-284"/>
              <w:jc w:val="both"/>
            </w:pPr>
            <w:r>
              <w:rPr>
                <w:noProof/>
              </w:rPr>
              <mc:AlternateContent>
                <mc:Choice Requires="wps">
                  <w:drawing>
                    <wp:anchor distT="0" distB="0" distL="114300" distR="114300" simplePos="0" relativeHeight="251660287" behindDoc="1" locked="0" layoutInCell="1" allowOverlap="1" wp14:anchorId="0EE64386" wp14:editId="0745A221">
                      <wp:simplePos x="0" y="0"/>
                      <wp:positionH relativeFrom="column">
                        <wp:posOffset>-2226945</wp:posOffset>
                      </wp:positionH>
                      <wp:positionV relativeFrom="paragraph">
                        <wp:posOffset>-622300</wp:posOffset>
                      </wp:positionV>
                      <wp:extent cx="9792970" cy="1714500"/>
                      <wp:effectExtent l="50800" t="25400" r="62230" b="88900"/>
                      <wp:wrapNone/>
                      <wp:docPr id="4"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792970" cy="1714500"/>
                              </a:xfrm>
                              <a:prstGeom prst="rtTriangle">
                                <a:avLst/>
                              </a:prstGeom>
                              <a:solidFill>
                                <a:srgbClr val="F090DC">
                                  <a:alpha val="64000"/>
                                </a:srgbClr>
                              </a:solidFill>
                              <a:ln>
                                <a:noFill/>
                              </a:ln>
                              <a:effectLst>
                                <a:outerShdw blurRad="40000" dist="22994" dir="5159997" rotWithShape="0">
                                  <a:srgbClr val="401F0F">
                                    <a:alpha val="34999"/>
                                  </a:srgbClr>
                                </a:outerShdw>
                              </a:effectLst>
                              <a:extLst>
                                <a:ext uri="{91240B29-F687-4f45-9708-019B960494DF}">
                                  <a14:hiddenLine xmlns:a14="http://schemas.microsoft.com/office/drawing/2010/main" w="9525">
                                    <a:solidFill>
                                      <a:srgbClr val="F090DC"/>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1" o:spid="_x0000_s1026" type="#_x0000_t6" style="position:absolute;margin-left:-175.3pt;margin-top:-48.95pt;width:771.1pt;height:13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" fillcolor="#f090dc" stroked="f" strokecolor="#f090dc">
                      <v:fill opacity="41891f"/>
                      <v:shadow on="t" color="#401f0f" opacity="22936f" mv:blur="40000f" origin=",.5" offset="1604emu,22938emu"/>
                    </v:shape>
                  </w:pict>
                </mc:Fallback>
              </mc:AlternateContent>
            </w:r>
            <w:r w:rsidR="003A308D">
              <w:rPr>
                <w:noProof/>
              </w:rPr>
              <w:drawing>
                <wp:anchor distT="0" distB="0" distL="114300" distR="114300" simplePos="0" relativeHeight="251663360" behindDoc="0" locked="0" layoutInCell="1" allowOverlap="1" wp14:anchorId="03EA07D4" wp14:editId="7EC715AB">
                  <wp:simplePos x="0" y="0"/>
                  <wp:positionH relativeFrom="column">
                    <wp:posOffset>62865</wp:posOffset>
                  </wp:positionH>
                  <wp:positionV relativeFrom="paragraph">
                    <wp:posOffset>431800</wp:posOffset>
                  </wp:positionV>
                  <wp:extent cx="2743200" cy="952500"/>
                  <wp:effectExtent l="0" t="0" r="0" b="12700"/>
                  <wp:wrapTight wrapText="bothSides">
                    <wp:wrapPolygon edited="0">
                      <wp:start x="2600" y="0"/>
                      <wp:lineTo x="1200" y="2304"/>
                      <wp:lineTo x="0" y="6912"/>
                      <wp:lineTo x="0" y="12096"/>
                      <wp:lineTo x="1000" y="19008"/>
                      <wp:lineTo x="2400" y="21312"/>
                      <wp:lineTo x="5000" y="21312"/>
                      <wp:lineTo x="13200" y="19008"/>
                      <wp:lineTo x="21400" y="14400"/>
                      <wp:lineTo x="21400" y="6912"/>
                      <wp:lineTo x="4800" y="0"/>
                      <wp:lineTo x="2600" y="0"/>
                    </wp:wrapPolygon>
                  </wp:wrapTight>
                  <wp:docPr id="2" name="Picture 3" descr="EMPLOYMENT-LAW-EXCHANGE-FINAL1---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MENT-LAW-EXCHANGE-FINAL1---V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6E6">
              <w:rPr>
                <w:noProof/>
              </w:rPr>
              <w:pict w14:anchorId="2455A9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70.5pt;margin-top:104.45pt;width:226.5pt;height:55pt;z-index:251661312;mso-wrap-edited:f;mso-position-horizontal-relative:text;mso-position-vertical-relative:text" wrapcoords="20813 -295 2717 295 429 591 357 4438 -143 9172 -143 13906 429 18641 429 19232 1645 22487 1931 22487 18238 22487 21600 22487 22100 21895 22029 -295 20813 -295" fillcolor="#5a5a5a [2109]" stroked="f" strokecolor="#1f497d" strokeweight="1.25pt">
                  <v:shadow on="t" color="#f090dc" mv:blur="25400f" offset="1pt,0" offset2=",-2pt"/>
                  <v:textpath style="font-family:&quot;Avenir Medium&quot;;font-size:40pt;font-weight:bold;v-text-align:letter-justify;v-text-spacing:78650f;v-text-kern:t" trim="t" fitpath="t" string="Gavel"/>
                  <w10:wrap type="tight"/>
                </v:shape>
              </w:pict>
            </w:r>
          </w:p>
        </w:tc>
      </w:tr>
      <w:tr w:rsidR="00FF7A98" w:rsidRPr="00FF7A98" w14:paraId="167B0C37" w14:textId="77777777" w:rsidTr="001A10EB">
        <w:trPr>
          <w:gridAfter w:val="1"/>
          <w:wAfter w:w="807" w:type="dxa"/>
          <w:trHeight w:val="122"/>
        </w:trPr>
        <w:tc>
          <w:tcPr>
            <w:tcW w:w="5344" w:type="dxa"/>
            <w:gridSpan w:val="2"/>
            <w:shd w:val="clear" w:color="auto" w:fill="FFFFFF"/>
          </w:tcPr>
          <w:p w14:paraId="57814153" w14:textId="61AED0B5" w:rsidR="00FF7A98" w:rsidRDefault="00196A98" w:rsidP="001A10EB">
            <w:pPr>
              <w:pStyle w:val="NewsletterDate"/>
              <w:tabs>
                <w:tab w:val="left" w:pos="175"/>
                <w:tab w:val="left" w:pos="317"/>
                <w:tab w:val="left" w:pos="4145"/>
                <w:tab w:val="left" w:pos="4428"/>
              </w:tabs>
              <w:jc w:val="both"/>
              <w:rPr>
                <w:rFonts w:ascii="Avenir Roman" w:hAnsi="Avenir Roman"/>
                <w:color w:val="595959"/>
                <w:sz w:val="22"/>
                <w:szCs w:val="22"/>
              </w:rPr>
            </w:pPr>
            <w:r>
              <w:rPr>
                <w:rFonts w:ascii="Avenir Book" w:hAnsi="Avenir Book"/>
                <w:color w:val="595959"/>
                <w:sz w:val="22"/>
                <w:szCs w:val="22"/>
              </w:rPr>
              <w:t xml:space="preserve">     </w:t>
            </w:r>
            <w:r w:rsidR="00FD6011">
              <w:rPr>
                <w:rFonts w:ascii="Avenir Roman" w:hAnsi="Avenir Roman"/>
                <w:color w:val="595959"/>
                <w:sz w:val="22"/>
                <w:szCs w:val="22"/>
              </w:rPr>
              <w:t>Volume 18</w:t>
            </w:r>
          </w:p>
          <w:p w14:paraId="14B3EC8A" w14:textId="4B9CBF06" w:rsidR="00FF7A98" w:rsidRPr="00FF7A98" w:rsidRDefault="00FF7A98" w:rsidP="001A10EB">
            <w:pPr>
              <w:pStyle w:val="NewsletterDate"/>
              <w:jc w:val="both"/>
              <w:rPr>
                <w:rFonts w:ascii="Avenir Roman" w:hAnsi="Avenir Roman"/>
                <w:color w:val="595959"/>
                <w:sz w:val="22"/>
                <w:szCs w:val="22"/>
              </w:rPr>
            </w:pPr>
          </w:p>
        </w:tc>
        <w:tc>
          <w:tcPr>
            <w:tcW w:w="6280" w:type="dxa"/>
            <w:shd w:val="clear" w:color="auto" w:fill="FFFFFF"/>
          </w:tcPr>
          <w:p w14:paraId="55862660" w14:textId="3DB702C8" w:rsidR="00FF7A98" w:rsidRPr="00FF7A98" w:rsidRDefault="00FD6011" w:rsidP="001A10EB">
            <w:pPr>
              <w:pStyle w:val="NewsletterDate"/>
              <w:jc w:val="right"/>
              <w:rPr>
                <w:rFonts w:ascii="Avenir Roman" w:hAnsi="Avenir Roman"/>
                <w:color w:val="595959" w:themeColor="text1" w:themeTint="A6"/>
                <w:sz w:val="22"/>
                <w:szCs w:val="22"/>
              </w:rPr>
            </w:pPr>
            <w:r>
              <w:rPr>
                <w:rFonts w:ascii="Avenir Roman" w:hAnsi="Avenir Roman"/>
                <w:color w:val="595959"/>
                <w:sz w:val="22"/>
                <w:szCs w:val="22"/>
              </w:rPr>
              <w:t>Aug</w:t>
            </w:r>
            <w:r w:rsidR="00B03FA8">
              <w:rPr>
                <w:rFonts w:ascii="Avenir Roman" w:hAnsi="Avenir Roman"/>
                <w:color w:val="595959"/>
                <w:sz w:val="22"/>
                <w:szCs w:val="22"/>
              </w:rPr>
              <w:t xml:space="preserve"> 2017</w:t>
            </w:r>
          </w:p>
        </w:tc>
      </w:tr>
    </w:tbl>
    <w:p w14:paraId="42425514" w14:textId="4377F88F" w:rsidR="001A10EB" w:rsidRPr="00FF7A98" w:rsidRDefault="001A10EB" w:rsidP="001A10EB">
      <w:pPr>
        <w:pStyle w:val="Heading1"/>
        <w:jc w:val="both"/>
        <w:rPr>
          <w:rFonts w:ascii="Avenir Roman" w:hAnsi="Avenir Roman"/>
          <w:color w:val="595959" w:themeColor="text1" w:themeTint="A6"/>
        </w:rPr>
      </w:pPr>
      <w:r>
        <w:rPr>
          <w:rFonts w:ascii="Avenir Roman" w:hAnsi="Avenir Roman"/>
          <w:b/>
          <w:color w:val="595959" w:themeColor="text1" w:themeTint="A6"/>
          <w:sz w:val="52"/>
          <w:szCs w:val="52"/>
        </w:rPr>
        <w:t>Introduction</w:t>
      </w:r>
    </w:p>
    <w:p w14:paraId="4B261F13" w14:textId="77777777"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This is an action-packed edition and I hope you will find it helpful. You will have read about the dramatic Supreme Court decision regarding ET fees, but the implications maybe need a careful look at. They are set down later in this Gavel.</w:t>
      </w:r>
    </w:p>
    <w:p w14:paraId="1082FDC3" w14:textId="7CE77CD8"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 xml:space="preserve">Let’s look at some </w:t>
      </w:r>
      <w:r w:rsidRPr="009446E6">
        <w:rPr>
          <w:rFonts w:ascii="Avenir Book" w:hAnsi="Avenir Book"/>
          <w:b/>
          <w:sz w:val="28"/>
          <w:szCs w:val="28"/>
          <w:lang w:val="en-GB"/>
        </w:rPr>
        <w:t>basic things first:</w:t>
      </w:r>
    </w:p>
    <w:p w14:paraId="0C4DDDDC" w14:textId="71F89EEC" w:rsidR="009446E6" w:rsidRPr="0091135C" w:rsidRDefault="009446E6" w:rsidP="009446E6">
      <w:pPr>
        <w:pStyle w:val="ListParagraph"/>
        <w:numPr>
          <w:ilvl w:val="0"/>
          <w:numId w:val="26"/>
        </w:numPr>
        <w:spacing w:line="276" w:lineRule="auto"/>
        <w:jc w:val="both"/>
        <w:rPr>
          <w:rFonts w:ascii="Avenir Book" w:hAnsi="Avenir Book"/>
          <w:sz w:val="28"/>
          <w:szCs w:val="28"/>
          <w:lang w:val="en-GB"/>
        </w:rPr>
      </w:pPr>
      <w:r w:rsidRPr="0091135C">
        <w:rPr>
          <w:rFonts w:ascii="Avenir Book" w:hAnsi="Avenir Book"/>
          <w:sz w:val="28"/>
          <w:szCs w:val="28"/>
          <w:lang w:val="en-GB"/>
        </w:rPr>
        <w:t xml:space="preserve">Our </w:t>
      </w:r>
      <w:r w:rsidRPr="009446E6">
        <w:rPr>
          <w:rFonts w:ascii="Avenir Book" w:hAnsi="Avenir Book"/>
          <w:b/>
          <w:sz w:val="28"/>
          <w:szCs w:val="28"/>
          <w:lang w:val="en-GB"/>
        </w:rPr>
        <w:t>next meeting</w:t>
      </w:r>
      <w:r w:rsidRPr="0091135C">
        <w:rPr>
          <w:rFonts w:ascii="Avenir Book" w:hAnsi="Avenir Book"/>
          <w:sz w:val="28"/>
          <w:szCs w:val="28"/>
          <w:lang w:val="en-GB"/>
        </w:rPr>
        <w:t xml:space="preserve"> is on 15</w:t>
      </w:r>
      <w:r w:rsidRPr="0091135C">
        <w:rPr>
          <w:rFonts w:ascii="Avenir Book" w:hAnsi="Avenir Book"/>
          <w:sz w:val="28"/>
          <w:szCs w:val="28"/>
          <w:vertAlign w:val="superscript"/>
          <w:lang w:val="en-GB"/>
        </w:rPr>
        <w:t>th</w:t>
      </w:r>
      <w:r w:rsidRPr="0091135C">
        <w:rPr>
          <w:rFonts w:ascii="Avenir Book" w:hAnsi="Avenir Book"/>
          <w:sz w:val="28"/>
          <w:szCs w:val="28"/>
          <w:lang w:val="en-GB"/>
        </w:rPr>
        <w:t xml:space="preserve"> September 2017. Its </w:t>
      </w:r>
      <w:r w:rsidRPr="009446E6">
        <w:rPr>
          <w:rFonts w:ascii="Avenir Book" w:hAnsi="Avenir Book"/>
          <w:b/>
          <w:sz w:val="28"/>
          <w:szCs w:val="28"/>
          <w:lang w:val="en-GB"/>
        </w:rPr>
        <w:t>Special Topic</w:t>
      </w:r>
      <w:r w:rsidRPr="0091135C">
        <w:rPr>
          <w:rFonts w:ascii="Avenir Book" w:hAnsi="Avenir Book"/>
          <w:sz w:val="28"/>
          <w:szCs w:val="28"/>
          <w:lang w:val="en-GB"/>
        </w:rPr>
        <w:t xml:space="preserve"> is scheduled to be Dealing with Allegations (Harassment/bullying etc.). You may have some more urgent concerns regarding a matter we could usefully discuss. If so, do let me know, as it is not difficult to make changes. At present we do not have a venue for this event. If any member is able to offer their premises, please do let me know.</w:t>
      </w:r>
    </w:p>
    <w:p w14:paraId="2245075B" w14:textId="24CA1C10" w:rsidR="009446E6" w:rsidRPr="0091135C" w:rsidRDefault="009446E6" w:rsidP="009446E6">
      <w:pPr>
        <w:pStyle w:val="ListParagraph"/>
        <w:numPr>
          <w:ilvl w:val="0"/>
          <w:numId w:val="26"/>
        </w:numPr>
        <w:spacing w:line="276" w:lineRule="auto"/>
        <w:jc w:val="both"/>
        <w:rPr>
          <w:rFonts w:ascii="Avenir Book" w:hAnsi="Avenir Book"/>
          <w:sz w:val="28"/>
          <w:szCs w:val="28"/>
          <w:lang w:val="en-GB"/>
        </w:rPr>
      </w:pPr>
      <w:r w:rsidRPr="0091135C">
        <w:rPr>
          <w:rFonts w:ascii="Avenir Book" w:hAnsi="Avenir Book"/>
          <w:sz w:val="28"/>
          <w:szCs w:val="28"/>
          <w:lang w:val="en-GB"/>
        </w:rPr>
        <w:t xml:space="preserve">The </w:t>
      </w:r>
      <w:r w:rsidRPr="009446E6">
        <w:rPr>
          <w:rFonts w:ascii="Avenir Book" w:hAnsi="Avenir Book"/>
          <w:b/>
          <w:sz w:val="28"/>
          <w:szCs w:val="28"/>
          <w:lang w:val="en-GB"/>
        </w:rPr>
        <w:t>ELE Guides</w:t>
      </w:r>
      <w:r w:rsidRPr="0091135C">
        <w:rPr>
          <w:rFonts w:ascii="Avenir Book" w:hAnsi="Avenir Book"/>
          <w:sz w:val="28"/>
          <w:szCs w:val="28"/>
          <w:lang w:val="en-GB"/>
        </w:rPr>
        <w:t>. I want to confirm with you that we have Four Guides on the website on the basic legal principles applying to core HR issues. (One is only as yet in pp</w:t>
      </w:r>
      <w:r>
        <w:rPr>
          <w:rFonts w:ascii="Avenir Book" w:hAnsi="Avenir Book"/>
          <w:sz w:val="28"/>
          <w:szCs w:val="28"/>
          <w:lang w:val="en-GB"/>
        </w:rPr>
        <w:t>t</w:t>
      </w:r>
      <w:r w:rsidRPr="0091135C">
        <w:rPr>
          <w:rFonts w:ascii="Avenir Book" w:hAnsi="Avenir Book"/>
          <w:sz w:val="28"/>
          <w:szCs w:val="28"/>
          <w:lang w:val="en-GB"/>
        </w:rPr>
        <w:t xml:space="preserve"> form). The three are;</w:t>
      </w:r>
    </w:p>
    <w:p w14:paraId="4D37FE02" w14:textId="77777777" w:rsidR="009446E6" w:rsidRPr="0091135C" w:rsidRDefault="009446E6" w:rsidP="009446E6">
      <w:pPr>
        <w:pStyle w:val="ListParagraph"/>
        <w:numPr>
          <w:ilvl w:val="0"/>
          <w:numId w:val="27"/>
        </w:numPr>
        <w:spacing w:line="276" w:lineRule="auto"/>
        <w:jc w:val="both"/>
        <w:rPr>
          <w:rFonts w:ascii="Avenir Book" w:hAnsi="Avenir Book"/>
          <w:sz w:val="28"/>
          <w:szCs w:val="28"/>
          <w:lang w:val="en-GB"/>
        </w:rPr>
      </w:pPr>
      <w:r w:rsidRPr="0091135C">
        <w:rPr>
          <w:rFonts w:ascii="Avenir Book" w:hAnsi="Avenir Book"/>
          <w:sz w:val="28"/>
          <w:szCs w:val="28"/>
          <w:lang w:val="en-GB"/>
        </w:rPr>
        <w:t>A Guide to eLegal Sources for Employment Law</w:t>
      </w:r>
    </w:p>
    <w:p w14:paraId="7818654B" w14:textId="77777777" w:rsidR="009446E6" w:rsidRPr="0091135C" w:rsidRDefault="009446E6" w:rsidP="009446E6">
      <w:pPr>
        <w:pStyle w:val="ListParagraph"/>
        <w:numPr>
          <w:ilvl w:val="0"/>
          <w:numId w:val="27"/>
        </w:numPr>
        <w:spacing w:line="276" w:lineRule="auto"/>
        <w:jc w:val="both"/>
        <w:rPr>
          <w:rFonts w:ascii="Avenir Book" w:hAnsi="Avenir Book"/>
          <w:sz w:val="28"/>
          <w:szCs w:val="28"/>
          <w:lang w:val="en-GB"/>
        </w:rPr>
      </w:pPr>
      <w:r w:rsidRPr="0091135C">
        <w:rPr>
          <w:rFonts w:ascii="Avenir Book" w:hAnsi="Avenir Book"/>
          <w:sz w:val="28"/>
          <w:szCs w:val="28"/>
          <w:lang w:val="en-GB"/>
        </w:rPr>
        <w:t>A Guide to Recruitment</w:t>
      </w:r>
    </w:p>
    <w:p w14:paraId="5AF2F4E4" w14:textId="77777777" w:rsidR="009446E6" w:rsidRPr="0091135C" w:rsidRDefault="009446E6" w:rsidP="009446E6">
      <w:pPr>
        <w:pStyle w:val="ListParagraph"/>
        <w:numPr>
          <w:ilvl w:val="0"/>
          <w:numId w:val="27"/>
        </w:numPr>
        <w:spacing w:line="276" w:lineRule="auto"/>
        <w:jc w:val="both"/>
        <w:rPr>
          <w:rFonts w:ascii="Avenir Book" w:hAnsi="Avenir Book"/>
          <w:sz w:val="28"/>
          <w:szCs w:val="28"/>
          <w:lang w:val="en-GB"/>
        </w:rPr>
      </w:pPr>
      <w:r w:rsidRPr="0091135C">
        <w:rPr>
          <w:rFonts w:ascii="Avenir Book" w:hAnsi="Avenir Book"/>
          <w:sz w:val="28"/>
          <w:szCs w:val="28"/>
          <w:lang w:val="en-GB"/>
        </w:rPr>
        <w:t>A Guide to Contract Law</w:t>
      </w:r>
    </w:p>
    <w:p w14:paraId="35A9B867" w14:textId="77777777" w:rsidR="009446E6" w:rsidRPr="0091135C" w:rsidRDefault="009446E6" w:rsidP="009446E6">
      <w:pPr>
        <w:pStyle w:val="ListParagraph"/>
        <w:numPr>
          <w:ilvl w:val="0"/>
          <w:numId w:val="27"/>
        </w:numPr>
        <w:spacing w:line="276" w:lineRule="auto"/>
        <w:jc w:val="both"/>
        <w:rPr>
          <w:rFonts w:ascii="Avenir Book" w:hAnsi="Avenir Book"/>
          <w:sz w:val="28"/>
          <w:szCs w:val="28"/>
          <w:lang w:val="en-GB"/>
        </w:rPr>
      </w:pPr>
      <w:r w:rsidRPr="0091135C">
        <w:rPr>
          <w:rFonts w:ascii="Avenir Book" w:hAnsi="Avenir Book"/>
          <w:sz w:val="28"/>
          <w:szCs w:val="28"/>
          <w:lang w:val="en-GB"/>
        </w:rPr>
        <w:t>A Guide to the Legal Issues Relating to Performance Management</w:t>
      </w:r>
    </w:p>
    <w:p w14:paraId="4B141EA2" w14:textId="109A2B03"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lastRenderedPageBreak/>
        <w:t xml:space="preserve">The Guides can be downloaded from the Member Zone on the website (Password: </w:t>
      </w:r>
      <w:r w:rsidRPr="009446E6">
        <w:rPr>
          <w:rFonts w:ascii="Avenir Book" w:hAnsi="Avenir Book"/>
          <w:b/>
          <w:color w:val="FF0000"/>
          <w:sz w:val="28"/>
          <w:szCs w:val="28"/>
          <w:lang w:val="en-GB"/>
        </w:rPr>
        <w:t>equalpay</w:t>
      </w:r>
      <w:r w:rsidRPr="0091135C">
        <w:rPr>
          <w:rFonts w:ascii="Avenir Book" w:hAnsi="Avenir Book"/>
          <w:sz w:val="28"/>
          <w:szCs w:val="28"/>
          <w:lang w:val="en-GB"/>
        </w:rPr>
        <w:t>) and if you wish, customised for your organisation.</w:t>
      </w:r>
    </w:p>
    <w:p w14:paraId="73494339" w14:textId="77777777" w:rsidR="009446E6" w:rsidRDefault="009446E6" w:rsidP="009446E6">
      <w:pPr>
        <w:jc w:val="both"/>
        <w:rPr>
          <w:rFonts w:ascii="Avenir Book" w:hAnsi="Avenir Book"/>
          <w:sz w:val="28"/>
          <w:szCs w:val="28"/>
          <w:lang w:val="en-GB"/>
        </w:rPr>
      </w:pPr>
      <w:r w:rsidRPr="0091135C">
        <w:rPr>
          <w:rFonts w:ascii="Avenir Book" w:hAnsi="Avenir Book"/>
          <w:sz w:val="28"/>
          <w:szCs w:val="28"/>
          <w:lang w:val="en-GB"/>
        </w:rPr>
        <w:t>Website</w:t>
      </w:r>
      <w:r>
        <w:rPr>
          <w:rFonts w:ascii="Avenir Book" w:hAnsi="Avenir Book"/>
          <w:sz w:val="28"/>
          <w:szCs w:val="28"/>
          <w:lang w:val="en-GB"/>
        </w:rPr>
        <w:t>:</w:t>
      </w:r>
      <w:r w:rsidRPr="0091135C">
        <w:rPr>
          <w:rFonts w:ascii="Avenir Book" w:hAnsi="Avenir Book"/>
          <w:sz w:val="28"/>
          <w:szCs w:val="28"/>
          <w:lang w:val="en-GB"/>
        </w:rPr>
        <w:t xml:space="preserve"> www.employmentllaw</w:t>
      </w:r>
      <w:r>
        <w:rPr>
          <w:rFonts w:ascii="Avenir Book" w:hAnsi="Avenir Book"/>
          <w:sz w:val="28"/>
          <w:szCs w:val="28"/>
          <w:lang w:val="en-GB"/>
        </w:rPr>
        <w:t xml:space="preserve"> exchange.co.uk, </w:t>
      </w:r>
      <w:r w:rsidRPr="0091135C">
        <w:rPr>
          <w:rFonts w:ascii="Avenir Book" w:hAnsi="Avenir Book"/>
          <w:sz w:val="28"/>
          <w:szCs w:val="28"/>
          <w:lang w:val="en-GB"/>
        </w:rPr>
        <w:t xml:space="preserve">just in case you had forgot. It has been updated very recently). </w:t>
      </w:r>
    </w:p>
    <w:p w14:paraId="77FADE12" w14:textId="77777777" w:rsidR="009446E6" w:rsidRDefault="009446E6" w:rsidP="009446E6">
      <w:pPr>
        <w:jc w:val="both"/>
        <w:rPr>
          <w:rFonts w:ascii="Avenir Book" w:hAnsi="Avenir Book"/>
          <w:sz w:val="28"/>
          <w:szCs w:val="28"/>
          <w:lang w:val="en-GB"/>
        </w:rPr>
      </w:pPr>
    </w:p>
    <w:p w14:paraId="5DE8172C" w14:textId="5CA4D565"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I had thought that the Guides would be useful for trainees or new staff, as they are written in what I hope is an accessible style. The references to cases are taken from your Notes, so if you want to follow up a reference (Using the Legal Sources Guide!!) you can check your Notes over the last year. The Notes are anyway on the website.</w:t>
      </w:r>
    </w:p>
    <w:p w14:paraId="5D4757F7" w14:textId="77777777" w:rsidR="00883293" w:rsidRDefault="00883293" w:rsidP="009446E6">
      <w:pPr>
        <w:jc w:val="both"/>
        <w:rPr>
          <w:rFonts w:ascii="Avenir Book" w:hAnsi="Avenir Book"/>
          <w:sz w:val="28"/>
          <w:szCs w:val="28"/>
          <w:lang w:val="en-GB"/>
        </w:rPr>
      </w:pPr>
    </w:p>
    <w:p w14:paraId="2BCDE986" w14:textId="77777777"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I would really welcome feedback on these Guides and suggestions for how they might be improved and for topics that could be added.</w:t>
      </w:r>
    </w:p>
    <w:p w14:paraId="15847ACC" w14:textId="449B4E97" w:rsidR="009446E6" w:rsidRPr="0091135C" w:rsidRDefault="009446E6" w:rsidP="009446E6">
      <w:pPr>
        <w:pStyle w:val="ListParagraph"/>
        <w:numPr>
          <w:ilvl w:val="0"/>
          <w:numId w:val="28"/>
        </w:numPr>
        <w:spacing w:line="276" w:lineRule="auto"/>
        <w:jc w:val="both"/>
        <w:rPr>
          <w:rFonts w:ascii="Avenir Book" w:hAnsi="Avenir Book"/>
          <w:sz w:val="28"/>
          <w:szCs w:val="28"/>
          <w:lang w:val="en-GB"/>
        </w:rPr>
      </w:pPr>
      <w:r w:rsidRPr="0091135C">
        <w:rPr>
          <w:rFonts w:ascii="Avenir Book" w:hAnsi="Avenir Book"/>
          <w:sz w:val="28"/>
          <w:szCs w:val="28"/>
          <w:lang w:val="en-GB"/>
        </w:rPr>
        <w:t xml:space="preserve">A Special meeting for </w:t>
      </w:r>
      <w:r w:rsidRPr="00883293">
        <w:rPr>
          <w:rFonts w:ascii="Avenir Book" w:hAnsi="Avenir Book"/>
          <w:b/>
          <w:sz w:val="28"/>
          <w:szCs w:val="28"/>
          <w:lang w:val="en-GB"/>
        </w:rPr>
        <w:t>13</w:t>
      </w:r>
      <w:r w:rsidRPr="00883293">
        <w:rPr>
          <w:rFonts w:ascii="Avenir Book" w:hAnsi="Avenir Book"/>
          <w:b/>
          <w:sz w:val="28"/>
          <w:szCs w:val="28"/>
          <w:vertAlign w:val="superscript"/>
          <w:lang w:val="en-GB"/>
        </w:rPr>
        <w:t>th</w:t>
      </w:r>
      <w:r w:rsidRPr="00883293">
        <w:rPr>
          <w:rFonts w:ascii="Avenir Book" w:hAnsi="Avenir Book"/>
          <w:b/>
          <w:sz w:val="28"/>
          <w:szCs w:val="28"/>
          <w:lang w:val="en-GB"/>
        </w:rPr>
        <w:t xml:space="preserve"> October 2017</w:t>
      </w:r>
      <w:r w:rsidRPr="0091135C">
        <w:rPr>
          <w:rFonts w:ascii="Avenir Book" w:hAnsi="Avenir Book"/>
          <w:sz w:val="28"/>
          <w:szCs w:val="28"/>
          <w:lang w:val="en-GB"/>
        </w:rPr>
        <w:t xml:space="preserve">. This is a unique event and planned as part of the European Freelancers Week activities. It will take the form of Round Table between HR professionals (You!) and freelancers/contractors/IPros. The idea is to explore mutual expectations where people are recruited and employed on a non-employee basis. My own research tells me that there is much room often for uncertainty, confusions and even conflict. It is intended that as an outcome of the event (To be held in Docklands) we will, produce a </w:t>
      </w:r>
      <w:r w:rsidRPr="00883293">
        <w:rPr>
          <w:rFonts w:ascii="Avenir Book" w:hAnsi="Avenir Book"/>
          <w:b/>
          <w:sz w:val="28"/>
          <w:szCs w:val="28"/>
          <w:lang w:val="en-GB"/>
        </w:rPr>
        <w:t>Guide to Best Practice</w:t>
      </w:r>
      <w:r w:rsidRPr="0091135C">
        <w:rPr>
          <w:rFonts w:ascii="Avenir Book" w:hAnsi="Avenir Book"/>
          <w:sz w:val="28"/>
          <w:szCs w:val="28"/>
          <w:lang w:val="en-GB"/>
        </w:rPr>
        <w:t xml:space="preserve"> in the area. The event is at the planning stage, but I am inviting some interesting people, policy-makers and others and am keen to have a good ELE presence. If there are people in your organisation who might also be interested please let me know.</w:t>
      </w:r>
    </w:p>
    <w:p w14:paraId="166791AB" w14:textId="77777777" w:rsidR="009446E6" w:rsidRPr="0091135C" w:rsidRDefault="009446E6" w:rsidP="009446E6">
      <w:pPr>
        <w:pStyle w:val="ListParagraph"/>
        <w:jc w:val="both"/>
        <w:rPr>
          <w:rFonts w:ascii="Avenir Book" w:hAnsi="Avenir Book"/>
          <w:sz w:val="28"/>
          <w:szCs w:val="28"/>
          <w:lang w:val="en-GB"/>
        </w:rPr>
      </w:pPr>
    </w:p>
    <w:p w14:paraId="594BCE4C" w14:textId="77777777" w:rsidR="00A22F9D" w:rsidRDefault="00A22F9D">
      <w:pPr>
        <w:spacing w:after="0"/>
        <w:rPr>
          <w:rFonts w:ascii="Avenir Book" w:hAnsi="Avenir Book"/>
          <w:b/>
          <w:sz w:val="28"/>
          <w:szCs w:val="28"/>
          <w:lang w:val="en-GB"/>
        </w:rPr>
      </w:pPr>
      <w:r>
        <w:rPr>
          <w:rFonts w:ascii="Avenir Book" w:hAnsi="Avenir Book"/>
          <w:b/>
          <w:sz w:val="28"/>
          <w:szCs w:val="28"/>
          <w:lang w:val="en-GB"/>
        </w:rPr>
        <w:br w:type="page"/>
      </w:r>
    </w:p>
    <w:p w14:paraId="6743A248" w14:textId="702512B6" w:rsidR="009446E6" w:rsidRPr="00A22F9D" w:rsidRDefault="009446E6" w:rsidP="00A22F9D">
      <w:pPr>
        <w:jc w:val="both"/>
        <w:rPr>
          <w:rFonts w:ascii="Avenir Book" w:hAnsi="Avenir Book"/>
          <w:b/>
          <w:sz w:val="28"/>
          <w:szCs w:val="28"/>
          <w:lang w:val="en-GB"/>
        </w:rPr>
      </w:pPr>
      <w:r w:rsidRPr="00A22F9D">
        <w:rPr>
          <w:rFonts w:ascii="Avenir Book" w:hAnsi="Avenir Book"/>
          <w:b/>
          <w:sz w:val="28"/>
          <w:szCs w:val="28"/>
          <w:lang w:val="en-GB"/>
        </w:rPr>
        <w:t>Now for some other News</w:t>
      </w:r>
    </w:p>
    <w:p w14:paraId="79051D1C" w14:textId="77777777" w:rsidR="00A22F9D" w:rsidRPr="00A22F9D" w:rsidRDefault="00A22F9D" w:rsidP="00A22F9D">
      <w:pPr>
        <w:pStyle w:val="ListParagraph"/>
        <w:numPr>
          <w:ilvl w:val="0"/>
          <w:numId w:val="30"/>
        </w:numPr>
        <w:jc w:val="both"/>
        <w:rPr>
          <w:rFonts w:ascii="Avenir Book" w:hAnsi="Avenir Book"/>
          <w:b/>
          <w:sz w:val="28"/>
          <w:szCs w:val="28"/>
          <w:lang w:val="en-GB"/>
        </w:rPr>
      </w:pPr>
      <w:r w:rsidRPr="00A22F9D">
        <w:rPr>
          <w:rFonts w:ascii="Avenir Book" w:hAnsi="Avenir Book"/>
          <w:b/>
          <w:sz w:val="28"/>
          <w:szCs w:val="28"/>
          <w:lang w:val="en-GB"/>
        </w:rPr>
        <w:t>The Pay Gap</w:t>
      </w:r>
    </w:p>
    <w:p w14:paraId="6F55AEEF" w14:textId="50E87C35" w:rsidR="00A22F9D" w:rsidRPr="00A22F9D" w:rsidRDefault="009446E6" w:rsidP="00A22F9D">
      <w:pPr>
        <w:jc w:val="both"/>
        <w:rPr>
          <w:rFonts w:ascii="Avenir Book" w:hAnsi="Avenir Book"/>
          <w:sz w:val="28"/>
          <w:szCs w:val="28"/>
          <w:lang w:val="en-GB"/>
        </w:rPr>
      </w:pPr>
      <w:r w:rsidRPr="00A22F9D">
        <w:rPr>
          <w:rFonts w:ascii="Avenir Book" w:hAnsi="Avenir Book"/>
          <w:sz w:val="28"/>
          <w:szCs w:val="28"/>
          <w:lang w:val="en-GB"/>
        </w:rPr>
        <w:t>We are now seeing the publication from some employers regarding the Pay Gap between men and women. Perhaps unsurprisingly, the public sector gap is revealed as less great than the private sector. For example, the Department</w:t>
      </w:r>
      <w:r w:rsidR="00A22F9D">
        <w:rPr>
          <w:rFonts w:ascii="Avenir Book" w:hAnsi="Avenir Book"/>
          <w:sz w:val="28"/>
          <w:szCs w:val="28"/>
          <w:lang w:val="en-GB"/>
        </w:rPr>
        <w:t xml:space="preserve"> </w:t>
      </w:r>
      <w:r w:rsidRPr="00A22F9D">
        <w:rPr>
          <w:rFonts w:ascii="Avenir Book" w:hAnsi="Avenir Book"/>
          <w:sz w:val="28"/>
          <w:szCs w:val="28"/>
          <w:lang w:val="en-GB"/>
        </w:rPr>
        <w:t>of Education median pay gap is 5.95, with more women than men in both the highest pay quartile and the lowest. By contrast, at Virgin Money the gap is 32.5% and at PWC 33%. These reports are well worth looking at for how data is presented and the Commentaries. We are expecting a similar report from the BBC!!!</w:t>
      </w:r>
    </w:p>
    <w:p w14:paraId="352FEFE2" w14:textId="77777777" w:rsidR="00A22F9D" w:rsidRDefault="00A22F9D" w:rsidP="00A22F9D">
      <w:pPr>
        <w:pStyle w:val="ListParagraph"/>
        <w:jc w:val="both"/>
        <w:rPr>
          <w:rFonts w:ascii="Avenir Book" w:hAnsi="Avenir Book"/>
          <w:sz w:val="28"/>
          <w:szCs w:val="28"/>
          <w:lang w:val="en-GB"/>
        </w:rPr>
      </w:pPr>
    </w:p>
    <w:p w14:paraId="45987F79" w14:textId="4524F09F" w:rsidR="009446E6" w:rsidRPr="00A22F9D" w:rsidRDefault="009446E6" w:rsidP="00A22F9D">
      <w:pPr>
        <w:pStyle w:val="ListParagraph"/>
        <w:numPr>
          <w:ilvl w:val="0"/>
          <w:numId w:val="30"/>
        </w:numPr>
        <w:jc w:val="both"/>
        <w:rPr>
          <w:rFonts w:ascii="Avenir Book" w:hAnsi="Avenir Book"/>
          <w:b/>
          <w:sz w:val="28"/>
          <w:szCs w:val="28"/>
          <w:lang w:val="en-GB"/>
        </w:rPr>
      </w:pPr>
      <w:r w:rsidRPr="00A22F9D">
        <w:rPr>
          <w:rFonts w:ascii="Avenir Book" w:hAnsi="Avenir Book"/>
          <w:b/>
          <w:sz w:val="28"/>
          <w:szCs w:val="28"/>
          <w:lang w:val="en-GB"/>
        </w:rPr>
        <w:t>The ET Fees decision from the Supreme Court</w:t>
      </w:r>
    </w:p>
    <w:p w14:paraId="0AD40249" w14:textId="1C1687DF" w:rsidR="009446E6" w:rsidRPr="00A22F9D" w:rsidRDefault="009446E6" w:rsidP="00A22F9D">
      <w:pPr>
        <w:jc w:val="both"/>
        <w:rPr>
          <w:rFonts w:ascii="Avenir Book" w:hAnsi="Avenir Book"/>
          <w:sz w:val="28"/>
          <w:szCs w:val="28"/>
          <w:lang w:val="en-GB"/>
        </w:rPr>
      </w:pPr>
      <w:r w:rsidRPr="00A22F9D">
        <w:rPr>
          <w:rFonts w:ascii="Avenir Book" w:hAnsi="Avenir Book"/>
          <w:sz w:val="28"/>
          <w:szCs w:val="28"/>
          <w:lang w:val="en-GB"/>
        </w:rPr>
        <w:t>Many have been surprised at the outcome of the appeal by Unison that the imposition of fees for ET was unlawful. It will be recalled that the CA had stated that they were only so if the outcome of the change was to make access to Et’s ‘impossible in practice’ (As opposed to more difficult.).</w:t>
      </w:r>
    </w:p>
    <w:p w14:paraId="77866158" w14:textId="57C6C35D" w:rsidR="009446E6" w:rsidRPr="00A22F9D" w:rsidRDefault="009446E6" w:rsidP="00A22F9D">
      <w:pPr>
        <w:jc w:val="both"/>
        <w:rPr>
          <w:rFonts w:ascii="Avenir Book" w:hAnsi="Avenir Book"/>
          <w:sz w:val="28"/>
          <w:szCs w:val="28"/>
          <w:lang w:val="en-GB"/>
        </w:rPr>
      </w:pPr>
      <w:r w:rsidRPr="00A22F9D">
        <w:rPr>
          <w:rFonts w:ascii="Avenir Book" w:hAnsi="Avenir Book"/>
          <w:sz w:val="28"/>
          <w:szCs w:val="28"/>
          <w:lang w:val="en-GB"/>
        </w:rPr>
        <w:t>The Supreme Court, where some powerful barristers represented the Union, dealt with two substantive questions (Others were withdrawn during the hearing). First, was the change itself lawful, i.e. was it properly authorised by S 42 of the Tribunals, Courts and Enforcement Act 2007, and second, whether the change impeded access to justice. There were other particular questions, dealt with Lady Hale, on the assertion that the changes operated in a discriminatory way against women.</w:t>
      </w:r>
    </w:p>
    <w:p w14:paraId="3FDC8771" w14:textId="7B8B7F7A" w:rsidR="009446E6" w:rsidRPr="00A22F9D" w:rsidRDefault="009446E6" w:rsidP="00A22F9D">
      <w:pPr>
        <w:jc w:val="both"/>
        <w:rPr>
          <w:rFonts w:ascii="Avenir Book" w:hAnsi="Avenir Book"/>
          <w:sz w:val="28"/>
          <w:szCs w:val="28"/>
          <w:lang w:val="en-GB"/>
        </w:rPr>
      </w:pPr>
      <w:r w:rsidRPr="00A22F9D">
        <w:rPr>
          <w:rFonts w:ascii="Avenir Book" w:hAnsi="Avenir Book"/>
          <w:sz w:val="28"/>
          <w:szCs w:val="28"/>
          <w:lang w:val="en-GB"/>
        </w:rPr>
        <w:t>The decision itself, which was unanimous by seven judges, is feisty, to say the least. The first part (It is 40 pages long-to read it in full, access the Supreme Court and check out ‘decided cases’) deals in great detail with the change in June 2013, the A and B categories and the direct effect on claims. The statistics-as we have discussed at ELE, make stark reading in terms of the decline, especially in category A claims.</w:t>
      </w:r>
    </w:p>
    <w:p w14:paraId="4C9DF7FF" w14:textId="77777777" w:rsidR="00A22F9D" w:rsidRPr="00A22F9D" w:rsidRDefault="009446E6" w:rsidP="00A22F9D">
      <w:pPr>
        <w:jc w:val="both"/>
        <w:rPr>
          <w:rFonts w:ascii="Avenir Book" w:hAnsi="Avenir Book"/>
          <w:sz w:val="28"/>
          <w:szCs w:val="28"/>
          <w:lang w:val="en-GB"/>
        </w:rPr>
      </w:pPr>
      <w:r w:rsidRPr="00A22F9D">
        <w:rPr>
          <w:rFonts w:ascii="Avenir Book" w:hAnsi="Avenir Book"/>
          <w:sz w:val="28"/>
          <w:szCs w:val="28"/>
          <w:lang w:val="en-GB"/>
        </w:rPr>
        <w:t>At the heart of the decision, the Court sets out its reasons for deciding that the change was unlawful. The Court relies on Magna Carta, Donaghue v Stevens and so much more ‘classic’ legal authority. The really important statements are as follows:</w:t>
      </w:r>
    </w:p>
    <w:p w14:paraId="6ADE50E3" w14:textId="77777777" w:rsidR="00A22F9D" w:rsidRDefault="009446E6" w:rsidP="00A22F9D">
      <w:pPr>
        <w:pStyle w:val="ListParagraph"/>
        <w:numPr>
          <w:ilvl w:val="0"/>
          <w:numId w:val="31"/>
        </w:numPr>
        <w:jc w:val="both"/>
        <w:rPr>
          <w:rFonts w:ascii="Avenir Book" w:hAnsi="Avenir Book"/>
          <w:sz w:val="28"/>
          <w:szCs w:val="28"/>
          <w:lang w:val="en-GB"/>
        </w:rPr>
      </w:pPr>
      <w:r w:rsidRPr="00A22F9D">
        <w:rPr>
          <w:rFonts w:ascii="Avenir Book" w:hAnsi="Avenir Book"/>
          <w:sz w:val="28"/>
          <w:szCs w:val="28"/>
          <w:lang w:val="en-GB"/>
        </w:rPr>
        <w:t>The administration of justice is not merely a public service like any other</w:t>
      </w:r>
      <w:r w:rsidR="00A22F9D">
        <w:rPr>
          <w:rFonts w:ascii="Avenir Book" w:hAnsi="Avenir Book"/>
          <w:sz w:val="28"/>
          <w:szCs w:val="28"/>
          <w:lang w:val="en-GB"/>
        </w:rPr>
        <w:t>.</w:t>
      </w:r>
    </w:p>
    <w:p w14:paraId="5BED5124" w14:textId="7A032710" w:rsidR="00A22F9D" w:rsidRDefault="009446E6" w:rsidP="00A22F9D">
      <w:pPr>
        <w:pStyle w:val="ListParagraph"/>
        <w:numPr>
          <w:ilvl w:val="0"/>
          <w:numId w:val="31"/>
        </w:numPr>
        <w:jc w:val="both"/>
        <w:rPr>
          <w:rFonts w:ascii="Avenir Book" w:hAnsi="Avenir Book"/>
          <w:sz w:val="28"/>
          <w:szCs w:val="28"/>
          <w:lang w:val="en-GB"/>
        </w:rPr>
      </w:pPr>
      <w:r w:rsidRPr="00A22F9D">
        <w:rPr>
          <w:rFonts w:ascii="Avenir Book" w:hAnsi="Avenir Book"/>
          <w:sz w:val="28"/>
          <w:szCs w:val="28"/>
          <w:lang w:val="en-GB"/>
        </w:rPr>
        <w:t>The courts are not just providers of services to users</w:t>
      </w:r>
      <w:r w:rsidR="00A22F9D">
        <w:rPr>
          <w:rFonts w:ascii="Avenir Book" w:hAnsi="Avenir Book"/>
          <w:sz w:val="28"/>
          <w:szCs w:val="28"/>
          <w:lang w:val="en-GB"/>
        </w:rPr>
        <w:t>.</w:t>
      </w:r>
    </w:p>
    <w:p w14:paraId="04BFB8E8" w14:textId="77777777" w:rsidR="00A22F9D" w:rsidRDefault="009446E6" w:rsidP="009446E6">
      <w:pPr>
        <w:pStyle w:val="ListParagraph"/>
        <w:numPr>
          <w:ilvl w:val="0"/>
          <w:numId w:val="31"/>
        </w:numPr>
        <w:jc w:val="both"/>
        <w:rPr>
          <w:rFonts w:ascii="Avenir Book" w:hAnsi="Avenir Book"/>
          <w:sz w:val="28"/>
          <w:szCs w:val="28"/>
          <w:lang w:val="en-GB"/>
        </w:rPr>
      </w:pPr>
      <w:r w:rsidRPr="00A22F9D">
        <w:rPr>
          <w:rFonts w:ascii="Avenir Book" w:hAnsi="Avenir Book"/>
          <w:sz w:val="28"/>
          <w:szCs w:val="28"/>
          <w:lang w:val="en-GB"/>
        </w:rPr>
        <w:t>That the services of courts are not just of value to the users</w:t>
      </w:r>
      <w:r w:rsidR="00A22F9D">
        <w:rPr>
          <w:rFonts w:ascii="Avenir Book" w:hAnsi="Avenir Book"/>
          <w:sz w:val="28"/>
          <w:szCs w:val="28"/>
          <w:lang w:val="en-GB"/>
        </w:rPr>
        <w:t>.</w:t>
      </w:r>
    </w:p>
    <w:p w14:paraId="69A83FE5" w14:textId="0231AF84" w:rsidR="009446E6" w:rsidRPr="0091135C" w:rsidRDefault="009446E6" w:rsidP="00A22F9D">
      <w:pPr>
        <w:jc w:val="both"/>
        <w:rPr>
          <w:rFonts w:ascii="Avenir Book" w:hAnsi="Avenir Book"/>
          <w:sz w:val="28"/>
          <w:szCs w:val="28"/>
          <w:lang w:val="en-GB"/>
        </w:rPr>
      </w:pPr>
      <w:r w:rsidRPr="00A22F9D">
        <w:rPr>
          <w:rFonts w:ascii="Avenir Book" w:hAnsi="Avenir Book"/>
          <w:sz w:val="28"/>
          <w:szCs w:val="28"/>
          <w:lang w:val="en-GB"/>
        </w:rPr>
        <w:t xml:space="preserve"> They went on to state that people should have ‘unimpeded access’ to</w:t>
      </w:r>
      <w:r w:rsidR="00A22F9D">
        <w:rPr>
          <w:rFonts w:ascii="Avenir Book" w:hAnsi="Avenir Book"/>
          <w:sz w:val="28"/>
          <w:szCs w:val="28"/>
          <w:lang w:val="en-GB"/>
        </w:rPr>
        <w:t xml:space="preserve"> </w:t>
      </w:r>
      <w:r w:rsidRPr="0091135C">
        <w:rPr>
          <w:rFonts w:ascii="Avenir Book" w:hAnsi="Avenir Book"/>
          <w:sz w:val="28"/>
          <w:szCs w:val="28"/>
          <w:lang w:val="en-GB"/>
        </w:rPr>
        <w:t>Justice. ‘Without access, laws are likely to become</w:t>
      </w:r>
      <w:r w:rsidR="00A22F9D">
        <w:rPr>
          <w:rFonts w:ascii="Avenir Book" w:hAnsi="Avenir Book"/>
          <w:sz w:val="28"/>
          <w:szCs w:val="28"/>
          <w:lang w:val="en-GB"/>
        </w:rPr>
        <w:t xml:space="preserve"> a dead letter’. The Court a</w:t>
      </w:r>
      <w:r w:rsidRPr="0091135C">
        <w:rPr>
          <w:rFonts w:ascii="Avenir Book" w:hAnsi="Avenir Book"/>
          <w:sz w:val="28"/>
          <w:szCs w:val="28"/>
          <w:lang w:val="en-GB"/>
        </w:rPr>
        <w:t>lso thought the decision by the government in 2013 contravened EU law, though the point was not discussed at length. Overall the Court was scathing about the impact of fees, especially on poorer claimants, coupled with a poor government performance on enforcement of judgments</w:t>
      </w:r>
      <w:r w:rsidR="00A22F9D">
        <w:rPr>
          <w:rFonts w:ascii="Avenir Book" w:hAnsi="Avenir Book"/>
          <w:sz w:val="28"/>
          <w:szCs w:val="28"/>
          <w:lang w:val="en-GB"/>
        </w:rPr>
        <w:t xml:space="preserve"> </w:t>
      </w:r>
      <w:r w:rsidRPr="0091135C">
        <w:rPr>
          <w:rFonts w:ascii="Avenir Book" w:hAnsi="Avenir Book"/>
          <w:sz w:val="28"/>
          <w:szCs w:val="28"/>
          <w:lang w:val="en-GB"/>
        </w:rPr>
        <w:t xml:space="preserve">(Only 53% getting the compensation in full and recent changes had made little </w:t>
      </w:r>
      <w:r w:rsidR="00A22F9D">
        <w:rPr>
          <w:rFonts w:ascii="Avenir Book" w:hAnsi="Avenir Book"/>
          <w:sz w:val="28"/>
          <w:szCs w:val="28"/>
          <w:lang w:val="en-GB"/>
        </w:rPr>
        <w:t>difference).</w:t>
      </w:r>
    </w:p>
    <w:p w14:paraId="68123689" w14:textId="77777777" w:rsidR="00A22F9D" w:rsidRDefault="00A22F9D" w:rsidP="009446E6">
      <w:pPr>
        <w:jc w:val="both"/>
        <w:rPr>
          <w:rFonts w:ascii="Avenir Book" w:hAnsi="Avenir Book"/>
          <w:b/>
          <w:sz w:val="28"/>
          <w:szCs w:val="28"/>
          <w:lang w:val="en-GB"/>
        </w:rPr>
      </w:pPr>
    </w:p>
    <w:p w14:paraId="76A81DEA" w14:textId="77777777" w:rsidR="009446E6" w:rsidRPr="00A22F9D" w:rsidRDefault="009446E6" w:rsidP="009446E6">
      <w:pPr>
        <w:jc w:val="both"/>
        <w:rPr>
          <w:rFonts w:ascii="Avenir Book" w:hAnsi="Avenir Book"/>
          <w:b/>
          <w:sz w:val="28"/>
          <w:szCs w:val="28"/>
          <w:lang w:val="en-GB"/>
        </w:rPr>
      </w:pPr>
      <w:r w:rsidRPr="00A22F9D">
        <w:rPr>
          <w:rFonts w:ascii="Avenir Book" w:hAnsi="Avenir Book"/>
          <w:b/>
          <w:sz w:val="28"/>
          <w:szCs w:val="28"/>
          <w:lang w:val="en-GB"/>
        </w:rPr>
        <w:t>What are the implications?</w:t>
      </w:r>
    </w:p>
    <w:p w14:paraId="2A907F2A" w14:textId="77777777"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Clearly, the abolition now of fees will make more able to claim. It is likely claims will rise, though the ACAS Conciliation Scheme remains in place. The increase is likely to occur in the ‘cheaper’ A claims, such as holiday pay, unlawful deductions and attitudes may well change towards settlements. Potential claimants may well be less wiling to settle and hold out for higher payments by way of settlement.</w:t>
      </w:r>
    </w:p>
    <w:p w14:paraId="046B2A21" w14:textId="5FCBB333"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However this re-</w:t>
      </w:r>
      <w:r w:rsidR="00A22F9D" w:rsidRPr="0091135C">
        <w:rPr>
          <w:rFonts w:ascii="Avenir Book" w:hAnsi="Avenir Book"/>
          <w:sz w:val="28"/>
          <w:szCs w:val="28"/>
          <w:lang w:val="en-GB"/>
        </w:rPr>
        <w:t>enforced</w:t>
      </w:r>
      <w:r w:rsidRPr="0091135C">
        <w:rPr>
          <w:rFonts w:ascii="Avenir Book" w:hAnsi="Avenir Book"/>
          <w:sz w:val="28"/>
          <w:szCs w:val="28"/>
          <w:lang w:val="en-GB"/>
        </w:rPr>
        <w:t xml:space="preserve"> notion of ‘impeded access to justice’ may have far wider implications.</w:t>
      </w:r>
    </w:p>
    <w:p w14:paraId="1E3BEC7D" w14:textId="18BCDA7A"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 xml:space="preserve">We have noted at ELE several times recently, that more subtle barriers have been put in place to reduce claims. The most obvious example is that of the </w:t>
      </w:r>
      <w:r w:rsidR="00A22F9D" w:rsidRPr="0091135C">
        <w:rPr>
          <w:rFonts w:ascii="Avenir Book" w:hAnsi="Avenir Book"/>
          <w:sz w:val="28"/>
          <w:szCs w:val="28"/>
          <w:lang w:val="en-GB"/>
        </w:rPr>
        <w:t>three-month</w:t>
      </w:r>
      <w:r w:rsidRPr="0091135C">
        <w:rPr>
          <w:rFonts w:ascii="Avenir Book" w:hAnsi="Avenir Book"/>
          <w:sz w:val="28"/>
          <w:szCs w:val="28"/>
          <w:lang w:val="en-GB"/>
        </w:rPr>
        <w:t xml:space="preserve"> limitation on claims for unpaid holiday pay. I have always said to you that this was a risky strategy by the government, because paid holidays are a health and wellbeing measure and should the issue be raised in the ECJ it was likely to be successfully challenged. Now, of course, the issue can be raise</w:t>
      </w:r>
      <w:r w:rsidR="00A22F9D">
        <w:rPr>
          <w:rFonts w:ascii="Avenir Book" w:hAnsi="Avenir Book"/>
          <w:sz w:val="28"/>
          <w:szCs w:val="28"/>
          <w:lang w:val="en-GB"/>
        </w:rPr>
        <w:t>d</w:t>
      </w:r>
      <w:r w:rsidRPr="0091135C">
        <w:rPr>
          <w:rFonts w:ascii="Avenir Book" w:hAnsi="Avenir Book"/>
          <w:sz w:val="28"/>
          <w:szCs w:val="28"/>
          <w:lang w:val="en-GB"/>
        </w:rPr>
        <w:t xml:space="preserve"> here on the ‘access to justice’ principles outlined in the Unison case. I would also see the provisions for claims under the Agency Work Regulations, whereby respondents can easily delay claims, and other ways in which claimants have not been able to come forward. As you know-there have been only three claims under those Regulations since 2011!</w:t>
      </w:r>
    </w:p>
    <w:p w14:paraId="7BEC293C" w14:textId="77777777" w:rsidR="009446E6" w:rsidRDefault="009446E6" w:rsidP="009446E6">
      <w:pPr>
        <w:jc w:val="both"/>
        <w:rPr>
          <w:rFonts w:ascii="Avenir Book" w:hAnsi="Avenir Book"/>
          <w:sz w:val="28"/>
          <w:szCs w:val="28"/>
          <w:lang w:val="en-GB"/>
        </w:rPr>
      </w:pPr>
      <w:r w:rsidRPr="0091135C">
        <w:rPr>
          <w:rFonts w:ascii="Avenir Book" w:hAnsi="Avenir Book"/>
          <w:sz w:val="28"/>
          <w:szCs w:val="28"/>
          <w:lang w:val="en-GB"/>
        </w:rPr>
        <w:t>I am not saying the ‘floodgates’ will open, but this is a momentous case where clear markers have been set down. If government is sensible, it will reflect on the case and note that the ‘rule of law’ has been clearly restated and courts are alive to the fact that denying access to justice can come in very subtle forms.</w:t>
      </w:r>
    </w:p>
    <w:p w14:paraId="472706A3" w14:textId="77777777" w:rsidR="00A22F9D" w:rsidRPr="0091135C" w:rsidRDefault="00A22F9D" w:rsidP="009446E6">
      <w:pPr>
        <w:jc w:val="both"/>
        <w:rPr>
          <w:rFonts w:ascii="Avenir Book" w:hAnsi="Avenir Book"/>
          <w:sz w:val="28"/>
          <w:szCs w:val="28"/>
          <w:lang w:val="en-GB"/>
        </w:rPr>
      </w:pPr>
    </w:p>
    <w:p w14:paraId="2DF6DAFC" w14:textId="201627BB" w:rsidR="009446E6" w:rsidRPr="00A22F9D" w:rsidRDefault="009446E6" w:rsidP="00A22F9D">
      <w:pPr>
        <w:pStyle w:val="ListParagraph"/>
        <w:numPr>
          <w:ilvl w:val="0"/>
          <w:numId w:val="30"/>
        </w:numPr>
        <w:jc w:val="both"/>
        <w:rPr>
          <w:rFonts w:ascii="Avenir Book" w:hAnsi="Avenir Book"/>
          <w:sz w:val="28"/>
          <w:szCs w:val="28"/>
          <w:lang w:val="en-GB"/>
        </w:rPr>
      </w:pPr>
      <w:r w:rsidRPr="00A22F9D">
        <w:rPr>
          <w:rFonts w:ascii="Avenir Book" w:hAnsi="Avenir Book"/>
          <w:b/>
          <w:sz w:val="28"/>
          <w:szCs w:val="28"/>
          <w:lang w:val="en-GB"/>
        </w:rPr>
        <w:t>The Taylor Report on Modern Employment Practices</w:t>
      </w:r>
    </w:p>
    <w:p w14:paraId="723BB682" w14:textId="73FCC6F2"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In theory, few topics of employment law could be more important than the major changes affecting the nature of employment relationships in recent years. We have seen the rise of the so-called ‘gig’ economy, whereby work is accessed and undertaken through digital platforms, the significant rise in self-employ</w:t>
      </w:r>
      <w:r w:rsidR="00A22F9D">
        <w:rPr>
          <w:rFonts w:ascii="Avenir Book" w:hAnsi="Avenir Book"/>
          <w:sz w:val="28"/>
          <w:szCs w:val="28"/>
          <w:lang w:val="en-GB"/>
        </w:rPr>
        <w:t>ment, the beginnings of robotis</w:t>
      </w:r>
      <w:r w:rsidRPr="0091135C">
        <w:rPr>
          <w:rFonts w:ascii="Avenir Book" w:hAnsi="Avenir Book"/>
          <w:sz w:val="28"/>
          <w:szCs w:val="28"/>
          <w:lang w:val="en-GB"/>
        </w:rPr>
        <w:t>ation and AI and many other developments.</w:t>
      </w:r>
    </w:p>
    <w:p w14:paraId="77D58592" w14:textId="77777777"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A massive review has been on-going since 2016 regarding these changes, with meetings, debates, written submissions. So what are the outcomes?</w:t>
      </w:r>
    </w:p>
    <w:p w14:paraId="5572250E" w14:textId="77777777"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There are a number of recommendations, but little optimism that in the current climate many, if any, will be implemented.</w:t>
      </w:r>
    </w:p>
    <w:p w14:paraId="17045D09" w14:textId="43155026"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The main</w:t>
      </w:r>
      <w:r w:rsidR="002E551F">
        <w:rPr>
          <w:rFonts w:ascii="Avenir Book" w:hAnsi="Avenir Book"/>
          <w:sz w:val="28"/>
          <w:szCs w:val="28"/>
          <w:lang w:val="en-GB"/>
        </w:rPr>
        <w:t xml:space="preserve"> recommendations are as follows:</w:t>
      </w:r>
    </w:p>
    <w:p w14:paraId="1D71D8AB" w14:textId="77777777" w:rsidR="009446E6" w:rsidRPr="0091135C" w:rsidRDefault="009446E6" w:rsidP="009446E6">
      <w:pPr>
        <w:pStyle w:val="ListParagraph"/>
        <w:numPr>
          <w:ilvl w:val="0"/>
          <w:numId w:val="29"/>
        </w:numPr>
        <w:spacing w:line="276" w:lineRule="auto"/>
        <w:jc w:val="both"/>
        <w:rPr>
          <w:rFonts w:ascii="Avenir Book" w:hAnsi="Avenir Book"/>
          <w:sz w:val="28"/>
          <w:szCs w:val="28"/>
          <w:lang w:val="en-GB"/>
        </w:rPr>
      </w:pPr>
      <w:r w:rsidRPr="0091135C">
        <w:rPr>
          <w:rFonts w:ascii="Avenir Book" w:hAnsi="Avenir Book"/>
          <w:sz w:val="28"/>
          <w:szCs w:val="28"/>
          <w:lang w:val="en-GB"/>
        </w:rPr>
        <w:t>Some of the notionally self-employed will be renamed ‘dependent contractors’, so long as they are ‘controlled and supervised’ by the client.</w:t>
      </w:r>
    </w:p>
    <w:p w14:paraId="3391ED04" w14:textId="77777777" w:rsidR="009446E6" w:rsidRPr="0091135C" w:rsidRDefault="009446E6" w:rsidP="009446E6">
      <w:pPr>
        <w:pStyle w:val="ListParagraph"/>
        <w:numPr>
          <w:ilvl w:val="0"/>
          <w:numId w:val="29"/>
        </w:numPr>
        <w:spacing w:line="276" w:lineRule="auto"/>
        <w:jc w:val="both"/>
        <w:rPr>
          <w:rFonts w:ascii="Avenir Book" w:hAnsi="Avenir Book"/>
          <w:sz w:val="28"/>
          <w:szCs w:val="28"/>
          <w:lang w:val="en-GB"/>
        </w:rPr>
      </w:pPr>
      <w:r w:rsidRPr="0091135C">
        <w:rPr>
          <w:rFonts w:ascii="Avenir Book" w:hAnsi="Avenir Book"/>
          <w:sz w:val="28"/>
          <w:szCs w:val="28"/>
          <w:lang w:val="en-GB"/>
        </w:rPr>
        <w:t>They will need to be provided with an equivalent of a S 1 Statement and will be entitled to the NMW, sick pay and holiday pay but will be taxed as employees</w:t>
      </w:r>
    </w:p>
    <w:p w14:paraId="003E8494" w14:textId="77777777" w:rsidR="009446E6" w:rsidRPr="0091135C" w:rsidRDefault="009446E6" w:rsidP="009446E6">
      <w:pPr>
        <w:pStyle w:val="ListParagraph"/>
        <w:numPr>
          <w:ilvl w:val="0"/>
          <w:numId w:val="29"/>
        </w:numPr>
        <w:spacing w:line="276" w:lineRule="auto"/>
        <w:jc w:val="both"/>
        <w:rPr>
          <w:rFonts w:ascii="Avenir Book" w:hAnsi="Avenir Book"/>
          <w:sz w:val="28"/>
          <w:szCs w:val="28"/>
          <w:lang w:val="en-GB"/>
        </w:rPr>
      </w:pPr>
      <w:r w:rsidRPr="0091135C">
        <w:rPr>
          <w:rFonts w:ascii="Avenir Book" w:hAnsi="Avenir Book"/>
          <w:sz w:val="28"/>
          <w:szCs w:val="28"/>
          <w:lang w:val="en-GB"/>
        </w:rPr>
        <w:t>There will be a new statutory definition of employment status</w:t>
      </w:r>
    </w:p>
    <w:p w14:paraId="7970D83C" w14:textId="77777777" w:rsidR="009446E6" w:rsidRPr="0091135C" w:rsidRDefault="009446E6" w:rsidP="009446E6">
      <w:pPr>
        <w:pStyle w:val="ListParagraph"/>
        <w:numPr>
          <w:ilvl w:val="0"/>
          <w:numId w:val="29"/>
        </w:numPr>
        <w:spacing w:line="276" w:lineRule="auto"/>
        <w:jc w:val="both"/>
        <w:rPr>
          <w:rFonts w:ascii="Avenir Book" w:hAnsi="Avenir Book"/>
          <w:sz w:val="28"/>
          <w:szCs w:val="28"/>
          <w:lang w:val="en-GB"/>
        </w:rPr>
      </w:pPr>
      <w:r w:rsidRPr="0091135C">
        <w:rPr>
          <w:rFonts w:ascii="Avenir Book" w:hAnsi="Avenir Book"/>
          <w:sz w:val="28"/>
          <w:szCs w:val="28"/>
          <w:lang w:val="en-GB"/>
        </w:rPr>
        <w:t>Workers on zero-hours contracts will be able to request fixed hours after a year of employment</w:t>
      </w:r>
    </w:p>
    <w:p w14:paraId="79247805" w14:textId="77777777" w:rsidR="009446E6" w:rsidRPr="0091135C" w:rsidRDefault="009446E6" w:rsidP="009446E6">
      <w:pPr>
        <w:pStyle w:val="ListParagraph"/>
        <w:numPr>
          <w:ilvl w:val="0"/>
          <w:numId w:val="29"/>
        </w:numPr>
        <w:spacing w:line="276" w:lineRule="auto"/>
        <w:jc w:val="both"/>
        <w:rPr>
          <w:rFonts w:ascii="Avenir Book" w:hAnsi="Avenir Book"/>
          <w:sz w:val="28"/>
          <w:szCs w:val="28"/>
          <w:lang w:val="en-GB"/>
        </w:rPr>
      </w:pPr>
      <w:r w:rsidRPr="0091135C">
        <w:rPr>
          <w:rFonts w:ascii="Avenir Book" w:hAnsi="Avenir Book"/>
          <w:sz w:val="28"/>
          <w:szCs w:val="28"/>
          <w:lang w:val="en-GB"/>
        </w:rPr>
        <w:t>Agency workers will be able to request a contract with an end user if they have been on assignment there for at least 12 months</w:t>
      </w:r>
    </w:p>
    <w:p w14:paraId="071D5A92" w14:textId="23B09D98" w:rsidR="009446E6" w:rsidRPr="0091135C" w:rsidRDefault="009446E6" w:rsidP="009446E6">
      <w:pPr>
        <w:pStyle w:val="ListParagraph"/>
        <w:numPr>
          <w:ilvl w:val="0"/>
          <w:numId w:val="29"/>
        </w:numPr>
        <w:spacing w:line="276" w:lineRule="auto"/>
        <w:jc w:val="both"/>
        <w:rPr>
          <w:rFonts w:ascii="Avenir Book" w:hAnsi="Avenir Book"/>
          <w:sz w:val="28"/>
          <w:szCs w:val="28"/>
          <w:lang w:val="en-GB"/>
        </w:rPr>
      </w:pPr>
      <w:r w:rsidRPr="0091135C">
        <w:rPr>
          <w:rFonts w:ascii="Avenir Book" w:hAnsi="Avenir Book"/>
          <w:sz w:val="28"/>
          <w:szCs w:val="28"/>
          <w:lang w:val="en-GB"/>
        </w:rPr>
        <w:t>Status issues to be an ET fee free zone</w:t>
      </w:r>
      <w:r w:rsidR="002E551F">
        <w:rPr>
          <w:rFonts w:ascii="Avenir Book" w:hAnsi="Avenir Book"/>
          <w:sz w:val="28"/>
          <w:szCs w:val="28"/>
          <w:lang w:val="en-GB"/>
        </w:rPr>
        <w:t xml:space="preserve"> </w:t>
      </w:r>
      <w:r w:rsidRPr="0091135C">
        <w:rPr>
          <w:rFonts w:ascii="Avenir Book" w:hAnsi="Avenir Book"/>
          <w:sz w:val="28"/>
          <w:szCs w:val="28"/>
          <w:lang w:val="en-GB"/>
        </w:rPr>
        <w:t>(Ah well-too late was the cry).</w:t>
      </w:r>
    </w:p>
    <w:p w14:paraId="0C28452B" w14:textId="4AA95395"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Overall, this is a very limited response by Taylor, though most employers and their organisations have responded positively. Others have been less positive, see many of the proposals as weak at best and unlikely</w:t>
      </w:r>
      <w:r w:rsidR="002E551F">
        <w:rPr>
          <w:rFonts w:ascii="Avenir Book" w:hAnsi="Avenir Book"/>
          <w:sz w:val="28"/>
          <w:szCs w:val="28"/>
          <w:lang w:val="en-GB"/>
        </w:rPr>
        <w:t xml:space="preserve"> to lead to improvement at all.</w:t>
      </w:r>
    </w:p>
    <w:p w14:paraId="7FF249F3" w14:textId="7B3BE2C7"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So:</w:t>
      </w:r>
      <w:r>
        <w:rPr>
          <w:rFonts w:ascii="Avenir Book" w:hAnsi="Avenir Book"/>
          <w:sz w:val="28"/>
          <w:szCs w:val="28"/>
          <w:lang w:val="en-GB"/>
        </w:rPr>
        <w:t xml:space="preserve"> </w:t>
      </w:r>
      <w:r w:rsidRPr="0091135C">
        <w:rPr>
          <w:rFonts w:ascii="Avenir Book" w:hAnsi="Avenir Book"/>
          <w:sz w:val="28"/>
          <w:szCs w:val="28"/>
          <w:lang w:val="en-GB"/>
        </w:rPr>
        <w:t>what should we think? Clearly, the issue of status, worker status and sham contracts is still a hot topic. The extent to which we will see practical outcomes must be doubted, not least because Taylor was only dealing with employment, as opposed to fiscal law. I don’t think ELE members should be worried about this. However, the major problems do remain and sometime they will need to be responded to.</w:t>
      </w:r>
    </w:p>
    <w:p w14:paraId="0D0BEC7C" w14:textId="3D98A300"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Have a lovely summer. I am off to the athletics in London next week. Look out fo</w:t>
      </w:r>
      <w:r w:rsidR="002E551F">
        <w:rPr>
          <w:rFonts w:ascii="Avenir Book" w:hAnsi="Avenir Book"/>
          <w:sz w:val="28"/>
          <w:szCs w:val="28"/>
          <w:lang w:val="en-GB"/>
        </w:rPr>
        <w:t>r me in the 400 metres hurdles!</w:t>
      </w:r>
      <w:bookmarkStart w:id="0" w:name="_GoBack"/>
      <w:bookmarkEnd w:id="0"/>
    </w:p>
    <w:p w14:paraId="1D7C189B" w14:textId="77777777" w:rsidR="009446E6" w:rsidRPr="0091135C" w:rsidRDefault="009446E6" w:rsidP="009446E6">
      <w:pPr>
        <w:jc w:val="both"/>
        <w:rPr>
          <w:rFonts w:ascii="Avenir Book" w:hAnsi="Avenir Book"/>
          <w:sz w:val="28"/>
          <w:szCs w:val="28"/>
          <w:lang w:val="en-GB"/>
        </w:rPr>
      </w:pPr>
      <w:r w:rsidRPr="0091135C">
        <w:rPr>
          <w:rFonts w:ascii="Avenir Book" w:hAnsi="Avenir Book"/>
          <w:sz w:val="28"/>
          <w:szCs w:val="28"/>
          <w:lang w:val="en-GB"/>
        </w:rPr>
        <w:t>Pat</w:t>
      </w:r>
    </w:p>
    <w:p w14:paraId="6A81C16C" w14:textId="3CC8B7B1" w:rsidR="006B5CAB" w:rsidRPr="007A76BC" w:rsidRDefault="006B5CAB" w:rsidP="001A10EB">
      <w:pPr>
        <w:jc w:val="both"/>
        <w:rPr>
          <w:rFonts w:ascii="Avenir Book" w:hAnsi="Avenir Book"/>
          <w:b/>
          <w:sz w:val="32"/>
          <w:szCs w:val="28"/>
          <w:lang w:val="en-GB"/>
        </w:rPr>
      </w:pPr>
    </w:p>
    <w:sectPr w:rsidR="006B5CAB" w:rsidRPr="007A76BC" w:rsidSect="009446E6">
      <w:footerReference w:type="even" r:id="rId10"/>
      <w:footerReference w:type="default" r:id="rId11"/>
      <w:pgSz w:w="12240" w:h="15840"/>
      <w:pgMar w:top="993" w:right="758" w:bottom="1560" w:left="864" w:header="720" w:footer="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8A1D709" w14:textId="77777777" w:rsidR="00A22F9D" w:rsidRDefault="00A22F9D">
      <w:r>
        <w:separator/>
      </w:r>
    </w:p>
  </w:endnote>
  <w:endnote w:type="continuationSeparator" w:id="0">
    <w:p w14:paraId="07A3ADD2" w14:textId="77777777" w:rsidR="00A22F9D" w:rsidRDefault="00A2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Wingdings 3">
    <w:panose1 w:val="050401020108070707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F68C" w14:textId="77777777" w:rsidR="00A22F9D" w:rsidRDefault="00A22F9D" w:rsidP="00755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1028F" w14:textId="77777777" w:rsidR="00A22F9D" w:rsidRDefault="00A22F9D" w:rsidP="001C77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4774" w14:textId="77777777" w:rsidR="00A22F9D" w:rsidRDefault="00A22F9D" w:rsidP="00755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51F">
      <w:rPr>
        <w:rStyle w:val="PageNumber"/>
        <w:noProof/>
      </w:rPr>
      <w:t>1</w:t>
    </w:r>
    <w:r>
      <w:rPr>
        <w:rStyle w:val="PageNumber"/>
      </w:rPr>
      <w:fldChar w:fldCharType="end"/>
    </w:r>
  </w:p>
  <w:p w14:paraId="5C948FCF" w14:textId="77777777" w:rsidR="00A22F9D" w:rsidRDefault="00A22F9D" w:rsidP="001C77A3">
    <w:pPr>
      <w:pStyle w:val="Footer"/>
      <w:ind w:right="360"/>
    </w:pPr>
  </w:p>
  <w:p w14:paraId="268542C1" w14:textId="6590A5A7" w:rsidR="00A22F9D" w:rsidRDefault="00A22F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9AFAAA" w14:textId="77777777" w:rsidR="00A22F9D" w:rsidRDefault="00A22F9D">
      <w:r>
        <w:separator/>
      </w:r>
    </w:p>
  </w:footnote>
  <w:footnote w:type="continuationSeparator" w:id="0">
    <w:p w14:paraId="77D6F2FC" w14:textId="77777777" w:rsidR="00A22F9D" w:rsidRDefault="00A22F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9120A3"/>
    <w:multiLevelType w:val="hybridMultilevel"/>
    <w:tmpl w:val="7F2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7423BD"/>
    <w:multiLevelType w:val="hybridMultilevel"/>
    <w:tmpl w:val="CC44CC98"/>
    <w:lvl w:ilvl="0" w:tplc="03FAFAD2">
      <w:numFmt w:val="bullet"/>
      <w:lvlText w:val="-"/>
      <w:lvlJc w:val="left"/>
      <w:pPr>
        <w:ind w:left="1590" w:hanging="360"/>
      </w:pPr>
      <w:rPr>
        <w:rFonts w:ascii="Calibri" w:eastAsiaTheme="minorHAnsi" w:hAnsi="Calibri" w:cstheme="minorBid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4">
    <w:nsid w:val="0BBA09DD"/>
    <w:multiLevelType w:val="hybridMultilevel"/>
    <w:tmpl w:val="622A4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FE29FA"/>
    <w:multiLevelType w:val="hybridMultilevel"/>
    <w:tmpl w:val="1CC4C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E12B0A"/>
    <w:multiLevelType w:val="hybridMultilevel"/>
    <w:tmpl w:val="BCB4B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8B1C75"/>
    <w:multiLevelType w:val="hybridMultilevel"/>
    <w:tmpl w:val="F1C0E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684C0B"/>
    <w:multiLevelType w:val="hybridMultilevel"/>
    <w:tmpl w:val="00C49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A97303"/>
    <w:multiLevelType w:val="hybridMultilevel"/>
    <w:tmpl w:val="3EB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22317E"/>
    <w:multiLevelType w:val="hybridMultilevel"/>
    <w:tmpl w:val="B57020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26117C9"/>
    <w:multiLevelType w:val="hybridMultilevel"/>
    <w:tmpl w:val="57A27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675751"/>
    <w:multiLevelType w:val="hybridMultilevel"/>
    <w:tmpl w:val="163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A905EE"/>
    <w:multiLevelType w:val="hybridMultilevel"/>
    <w:tmpl w:val="7C1CC6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833122"/>
    <w:multiLevelType w:val="hybridMultilevel"/>
    <w:tmpl w:val="3EBAE2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1B4FFA"/>
    <w:multiLevelType w:val="hybridMultilevel"/>
    <w:tmpl w:val="CC66E06A"/>
    <w:lvl w:ilvl="0" w:tplc="709A655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F76ADE"/>
    <w:multiLevelType w:val="hybridMultilevel"/>
    <w:tmpl w:val="247880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7004A"/>
    <w:multiLevelType w:val="hybridMultilevel"/>
    <w:tmpl w:val="8A66FCDA"/>
    <w:lvl w:ilvl="0" w:tplc="709A655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33BF6"/>
    <w:multiLevelType w:val="hybridMultilevel"/>
    <w:tmpl w:val="10DA0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6B4F9F"/>
    <w:multiLevelType w:val="hybridMultilevel"/>
    <w:tmpl w:val="923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16833"/>
    <w:multiLevelType w:val="hybridMultilevel"/>
    <w:tmpl w:val="51B88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D97304"/>
    <w:multiLevelType w:val="hybridMultilevel"/>
    <w:tmpl w:val="85CED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 w:numId="15">
    <w:abstractNumId w:val="31"/>
  </w:num>
  <w:num w:numId="16">
    <w:abstractNumId w:val="28"/>
  </w:num>
  <w:num w:numId="17">
    <w:abstractNumId w:val="24"/>
  </w:num>
  <w:num w:numId="18">
    <w:abstractNumId w:val="26"/>
  </w:num>
  <w:num w:numId="19">
    <w:abstractNumId w:val="18"/>
  </w:num>
  <w:num w:numId="20">
    <w:abstractNumId w:val="23"/>
  </w:num>
  <w:num w:numId="21">
    <w:abstractNumId w:val="21"/>
  </w:num>
  <w:num w:numId="22">
    <w:abstractNumId w:val="16"/>
  </w:num>
  <w:num w:numId="23">
    <w:abstractNumId w:val="25"/>
  </w:num>
  <w:num w:numId="24">
    <w:abstractNumId w:val="27"/>
  </w:num>
  <w:num w:numId="25">
    <w:abstractNumId w:val="30"/>
  </w:num>
  <w:num w:numId="26">
    <w:abstractNumId w:val="19"/>
  </w:num>
  <w:num w:numId="27">
    <w:abstractNumId w:val="13"/>
  </w:num>
  <w:num w:numId="28">
    <w:abstractNumId w:val="11"/>
  </w:num>
  <w:num w:numId="29">
    <w:abstractNumId w:val="17"/>
  </w:num>
  <w:num w:numId="30">
    <w:abstractNumId w:val="14"/>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colormru v:ext="edit" colors="#44c700,#f090dc,#418b39,#eb01e0,#858b00,#85c7ff,#401f0f"/>
      <o:colormenu v:ext="edit" fillcolor="#f090dc" strokecolor="none" shadowcolor="#f090dc"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49"/>
    <w:rsid w:val="000034C8"/>
    <w:rsid w:val="000120E3"/>
    <w:rsid w:val="0003096C"/>
    <w:rsid w:val="00037900"/>
    <w:rsid w:val="00054D9C"/>
    <w:rsid w:val="00064ABB"/>
    <w:rsid w:val="00065616"/>
    <w:rsid w:val="0008500C"/>
    <w:rsid w:val="000A0174"/>
    <w:rsid w:val="000A615C"/>
    <w:rsid w:val="000B587A"/>
    <w:rsid w:val="000D333F"/>
    <w:rsid w:val="000F759E"/>
    <w:rsid w:val="00150AB8"/>
    <w:rsid w:val="00152026"/>
    <w:rsid w:val="00154156"/>
    <w:rsid w:val="00166952"/>
    <w:rsid w:val="0018091B"/>
    <w:rsid w:val="00185854"/>
    <w:rsid w:val="00196A98"/>
    <w:rsid w:val="001A0764"/>
    <w:rsid w:val="001A10EB"/>
    <w:rsid w:val="001A73A5"/>
    <w:rsid w:val="001C513D"/>
    <w:rsid w:val="001C77A3"/>
    <w:rsid w:val="001F3DA2"/>
    <w:rsid w:val="00205897"/>
    <w:rsid w:val="00207A3F"/>
    <w:rsid w:val="00216921"/>
    <w:rsid w:val="002261A3"/>
    <w:rsid w:val="00256107"/>
    <w:rsid w:val="00262A24"/>
    <w:rsid w:val="00287F66"/>
    <w:rsid w:val="002913A0"/>
    <w:rsid w:val="002A1EC9"/>
    <w:rsid w:val="002B0D68"/>
    <w:rsid w:val="002B5F1F"/>
    <w:rsid w:val="002D08DA"/>
    <w:rsid w:val="002E21C2"/>
    <w:rsid w:val="002E551F"/>
    <w:rsid w:val="002E724C"/>
    <w:rsid w:val="00311C43"/>
    <w:rsid w:val="00315B6C"/>
    <w:rsid w:val="00317F9B"/>
    <w:rsid w:val="00323944"/>
    <w:rsid w:val="0033010D"/>
    <w:rsid w:val="0033420B"/>
    <w:rsid w:val="00345B00"/>
    <w:rsid w:val="00355832"/>
    <w:rsid w:val="00360E80"/>
    <w:rsid w:val="003A308D"/>
    <w:rsid w:val="003C22EC"/>
    <w:rsid w:val="003C2D2C"/>
    <w:rsid w:val="003D26EA"/>
    <w:rsid w:val="003F5083"/>
    <w:rsid w:val="004058E6"/>
    <w:rsid w:val="00435C8C"/>
    <w:rsid w:val="00445DFF"/>
    <w:rsid w:val="00461DD5"/>
    <w:rsid w:val="00467D0D"/>
    <w:rsid w:val="00476A3C"/>
    <w:rsid w:val="00487680"/>
    <w:rsid w:val="004A24B3"/>
    <w:rsid w:val="004A364D"/>
    <w:rsid w:val="004B0FFC"/>
    <w:rsid w:val="004D1C31"/>
    <w:rsid w:val="0050638D"/>
    <w:rsid w:val="0053525C"/>
    <w:rsid w:val="00553550"/>
    <w:rsid w:val="00557DF7"/>
    <w:rsid w:val="00583F92"/>
    <w:rsid w:val="005867AC"/>
    <w:rsid w:val="005B07C4"/>
    <w:rsid w:val="005B7D74"/>
    <w:rsid w:val="005F19A9"/>
    <w:rsid w:val="00607AB7"/>
    <w:rsid w:val="0062037E"/>
    <w:rsid w:val="006301A9"/>
    <w:rsid w:val="00641B4A"/>
    <w:rsid w:val="0065629C"/>
    <w:rsid w:val="006740B0"/>
    <w:rsid w:val="006748DD"/>
    <w:rsid w:val="006764F4"/>
    <w:rsid w:val="006832C2"/>
    <w:rsid w:val="006B2964"/>
    <w:rsid w:val="006B5CAB"/>
    <w:rsid w:val="006E2AE6"/>
    <w:rsid w:val="006E2B39"/>
    <w:rsid w:val="00702363"/>
    <w:rsid w:val="00706858"/>
    <w:rsid w:val="00713578"/>
    <w:rsid w:val="00714A23"/>
    <w:rsid w:val="00721FB5"/>
    <w:rsid w:val="007526F6"/>
    <w:rsid w:val="00755A2F"/>
    <w:rsid w:val="007674AE"/>
    <w:rsid w:val="00785129"/>
    <w:rsid w:val="007854B9"/>
    <w:rsid w:val="007952EB"/>
    <w:rsid w:val="007A7004"/>
    <w:rsid w:val="007A76BC"/>
    <w:rsid w:val="007B77C1"/>
    <w:rsid w:val="007C6452"/>
    <w:rsid w:val="007D0A4D"/>
    <w:rsid w:val="007F6DD0"/>
    <w:rsid w:val="00803EA2"/>
    <w:rsid w:val="00820316"/>
    <w:rsid w:val="00882EFF"/>
    <w:rsid w:val="00883293"/>
    <w:rsid w:val="008966A3"/>
    <w:rsid w:val="008B2C29"/>
    <w:rsid w:val="008B5090"/>
    <w:rsid w:val="008C02E2"/>
    <w:rsid w:val="008D762F"/>
    <w:rsid w:val="008E3623"/>
    <w:rsid w:val="008E395A"/>
    <w:rsid w:val="00902ABA"/>
    <w:rsid w:val="0093052A"/>
    <w:rsid w:val="00937B06"/>
    <w:rsid w:val="009446E6"/>
    <w:rsid w:val="00973C81"/>
    <w:rsid w:val="00974264"/>
    <w:rsid w:val="00977E9B"/>
    <w:rsid w:val="009917BC"/>
    <w:rsid w:val="00A01022"/>
    <w:rsid w:val="00A0659B"/>
    <w:rsid w:val="00A11449"/>
    <w:rsid w:val="00A22F9D"/>
    <w:rsid w:val="00A30AD6"/>
    <w:rsid w:val="00A31337"/>
    <w:rsid w:val="00A45C4C"/>
    <w:rsid w:val="00A55198"/>
    <w:rsid w:val="00A56F68"/>
    <w:rsid w:val="00A6407E"/>
    <w:rsid w:val="00A80529"/>
    <w:rsid w:val="00AF03CB"/>
    <w:rsid w:val="00B03FA8"/>
    <w:rsid w:val="00B132C4"/>
    <w:rsid w:val="00B21077"/>
    <w:rsid w:val="00B251F8"/>
    <w:rsid w:val="00B3116E"/>
    <w:rsid w:val="00B3583B"/>
    <w:rsid w:val="00B91AF5"/>
    <w:rsid w:val="00BB0A32"/>
    <w:rsid w:val="00BB494C"/>
    <w:rsid w:val="00BD6D7E"/>
    <w:rsid w:val="00BE227B"/>
    <w:rsid w:val="00BF40C4"/>
    <w:rsid w:val="00C04E5A"/>
    <w:rsid w:val="00C05296"/>
    <w:rsid w:val="00C070B3"/>
    <w:rsid w:val="00C23F70"/>
    <w:rsid w:val="00C340F5"/>
    <w:rsid w:val="00C43D00"/>
    <w:rsid w:val="00C65005"/>
    <w:rsid w:val="00CB41D2"/>
    <w:rsid w:val="00CB547E"/>
    <w:rsid w:val="00CB71C9"/>
    <w:rsid w:val="00CC35E1"/>
    <w:rsid w:val="00CD0123"/>
    <w:rsid w:val="00CD76D8"/>
    <w:rsid w:val="00CE0C4C"/>
    <w:rsid w:val="00CE6266"/>
    <w:rsid w:val="00D02F61"/>
    <w:rsid w:val="00D03826"/>
    <w:rsid w:val="00D608D8"/>
    <w:rsid w:val="00D7361C"/>
    <w:rsid w:val="00D75AF0"/>
    <w:rsid w:val="00D952AE"/>
    <w:rsid w:val="00DA3D17"/>
    <w:rsid w:val="00DA3DAB"/>
    <w:rsid w:val="00DB657B"/>
    <w:rsid w:val="00E10A9A"/>
    <w:rsid w:val="00E128EF"/>
    <w:rsid w:val="00E27281"/>
    <w:rsid w:val="00E63888"/>
    <w:rsid w:val="00E647C2"/>
    <w:rsid w:val="00E7703B"/>
    <w:rsid w:val="00E8006C"/>
    <w:rsid w:val="00E849EC"/>
    <w:rsid w:val="00EB76B8"/>
    <w:rsid w:val="00ED33BD"/>
    <w:rsid w:val="00ED3723"/>
    <w:rsid w:val="00EF7AB2"/>
    <w:rsid w:val="00F401F8"/>
    <w:rsid w:val="00F4396F"/>
    <w:rsid w:val="00F54792"/>
    <w:rsid w:val="00F71A42"/>
    <w:rsid w:val="00F81921"/>
    <w:rsid w:val="00F81DFE"/>
    <w:rsid w:val="00FA47F3"/>
    <w:rsid w:val="00FD6011"/>
    <w:rsid w:val="00FD6850"/>
    <w:rsid w:val="00FF299F"/>
    <w:rsid w:val="00FF7A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44c700,#f090dc,#418b39,#eb01e0,#858b00,#85c7ff,#401f0f"/>
      <o:colormenu v:ext="edit" fillcolor="#f090dc" strokecolor="none" shadowcolor="#f090dc" extrusioncolor="none"/>
    </o:shapedefaults>
    <o:shapelayout v:ext="edit">
      <o:idmap v:ext="edit" data="1"/>
    </o:shapelayout>
  </w:shapeDefaults>
  <w:decimalSymbol w:val="."/>
  <w:listSeparator w:val=","/>
  <w14:docId w14:val="398869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A23"/>
    <w:pPr>
      <w:spacing w:after="200"/>
    </w:pPr>
    <w:rPr>
      <w:rFonts w:asciiTheme="minorHAnsi" w:eastAsiaTheme="minorHAnsi" w:hAnsiTheme="minorHAnsi" w:cstheme="minorBidi"/>
      <w:sz w:val="22"/>
      <w:szCs w:val="22"/>
      <w:lang w:val="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714A23"/>
    <w:pPr>
      <w:ind w:left="720"/>
      <w:contextualSpacing/>
    </w:pPr>
  </w:style>
  <w:style w:type="paragraph" w:styleId="Header">
    <w:name w:val="header"/>
    <w:basedOn w:val="Normal"/>
    <w:link w:val="HeaderChar"/>
    <w:rsid w:val="00150AB8"/>
    <w:pPr>
      <w:tabs>
        <w:tab w:val="center" w:pos="4320"/>
        <w:tab w:val="right" w:pos="8640"/>
      </w:tabs>
      <w:spacing w:after="0"/>
    </w:pPr>
  </w:style>
  <w:style w:type="character" w:customStyle="1" w:styleId="HeaderChar">
    <w:name w:val="Header Char"/>
    <w:basedOn w:val="DefaultParagraphFont"/>
    <w:link w:val="Header"/>
    <w:rsid w:val="00150AB8"/>
    <w:rPr>
      <w:rFonts w:asciiTheme="minorHAnsi" w:eastAsiaTheme="minorHAnsi" w:hAnsiTheme="minorHAnsi" w:cstheme="minorBidi"/>
      <w:sz w:val="22"/>
      <w:szCs w:val="22"/>
      <w:lang w:val="en-US"/>
    </w:rPr>
  </w:style>
  <w:style w:type="paragraph" w:styleId="Footer">
    <w:name w:val="footer"/>
    <w:basedOn w:val="Normal"/>
    <w:link w:val="FooterChar"/>
    <w:rsid w:val="00150AB8"/>
    <w:pPr>
      <w:tabs>
        <w:tab w:val="center" w:pos="4320"/>
        <w:tab w:val="right" w:pos="8640"/>
      </w:tabs>
      <w:spacing w:after="0"/>
    </w:pPr>
  </w:style>
  <w:style w:type="character" w:customStyle="1" w:styleId="FooterChar">
    <w:name w:val="Footer Char"/>
    <w:basedOn w:val="DefaultParagraphFont"/>
    <w:link w:val="Footer"/>
    <w:rsid w:val="00150AB8"/>
    <w:rPr>
      <w:rFonts w:asciiTheme="minorHAnsi" w:eastAsiaTheme="minorHAnsi" w:hAnsiTheme="minorHAnsi" w:cstheme="minorBidi"/>
      <w:sz w:val="22"/>
      <w:szCs w:val="22"/>
      <w:lang w:val="en-US"/>
    </w:rPr>
  </w:style>
  <w:style w:type="character" w:styleId="PageNumber">
    <w:name w:val="page number"/>
    <w:basedOn w:val="DefaultParagraphFont"/>
    <w:rsid w:val="001C77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A23"/>
    <w:pPr>
      <w:spacing w:after="200"/>
    </w:pPr>
    <w:rPr>
      <w:rFonts w:asciiTheme="minorHAnsi" w:eastAsiaTheme="minorHAnsi" w:hAnsiTheme="minorHAnsi" w:cstheme="minorBidi"/>
      <w:sz w:val="22"/>
      <w:szCs w:val="22"/>
      <w:lang w:val="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714A23"/>
    <w:pPr>
      <w:ind w:left="720"/>
      <w:contextualSpacing/>
    </w:pPr>
  </w:style>
  <w:style w:type="paragraph" w:styleId="Header">
    <w:name w:val="header"/>
    <w:basedOn w:val="Normal"/>
    <w:link w:val="HeaderChar"/>
    <w:rsid w:val="00150AB8"/>
    <w:pPr>
      <w:tabs>
        <w:tab w:val="center" w:pos="4320"/>
        <w:tab w:val="right" w:pos="8640"/>
      </w:tabs>
      <w:spacing w:after="0"/>
    </w:pPr>
  </w:style>
  <w:style w:type="character" w:customStyle="1" w:styleId="HeaderChar">
    <w:name w:val="Header Char"/>
    <w:basedOn w:val="DefaultParagraphFont"/>
    <w:link w:val="Header"/>
    <w:rsid w:val="00150AB8"/>
    <w:rPr>
      <w:rFonts w:asciiTheme="minorHAnsi" w:eastAsiaTheme="minorHAnsi" w:hAnsiTheme="minorHAnsi" w:cstheme="minorBidi"/>
      <w:sz w:val="22"/>
      <w:szCs w:val="22"/>
      <w:lang w:val="en-US"/>
    </w:rPr>
  </w:style>
  <w:style w:type="paragraph" w:styleId="Footer">
    <w:name w:val="footer"/>
    <w:basedOn w:val="Normal"/>
    <w:link w:val="FooterChar"/>
    <w:rsid w:val="00150AB8"/>
    <w:pPr>
      <w:tabs>
        <w:tab w:val="center" w:pos="4320"/>
        <w:tab w:val="right" w:pos="8640"/>
      </w:tabs>
      <w:spacing w:after="0"/>
    </w:pPr>
  </w:style>
  <w:style w:type="character" w:customStyle="1" w:styleId="FooterChar">
    <w:name w:val="Footer Char"/>
    <w:basedOn w:val="DefaultParagraphFont"/>
    <w:link w:val="Footer"/>
    <w:rsid w:val="00150AB8"/>
    <w:rPr>
      <w:rFonts w:asciiTheme="minorHAnsi" w:eastAsiaTheme="minorHAnsi" w:hAnsiTheme="minorHAnsi" w:cstheme="minorBidi"/>
      <w:sz w:val="22"/>
      <w:szCs w:val="22"/>
      <w:lang w:val="en-US"/>
    </w:rPr>
  </w:style>
  <w:style w:type="character" w:styleId="PageNumber">
    <w:name w:val="page number"/>
    <w:basedOn w:val="DefaultParagraphFont"/>
    <w:rsid w:val="001C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9_:_rmv4hf95p1_dp_l8ds7g44m0000gn:T:TM0100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C6C4-C46E-B841-8E91-85890903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TM01000113</Template>
  <TotalTime>0</TotalTime>
  <Pages>6</Pages>
  <Words>1374</Words>
  <Characters>7834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2003-07-31T09:56:00Z</cp:lastPrinted>
  <dcterms:created xsi:type="dcterms:W3CDTF">2017-07-30T22:29:00Z</dcterms:created>
  <dcterms:modified xsi:type="dcterms:W3CDTF">2017-07-30T22:53:00Z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